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2026-08-06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applying for the AI Analyst role. Designing and deploying production AI applications — LLM-powered pipelines, RAG architectures, AI agent workflows, and prompt-engineered integrations — is the core of my current work as a freelance AI developer, and the skills this role requires map closely to what I have been building in production environments over the past year and a half.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My recent projects demonstrate end-to-end AI delivery from concept through production: CallCatch AI is an LLM-powered call analysis and business intelligence platform I designed and built, engineering the prompt pipelines, LLM integration, and automated data extraction workflows that drive its real-time insights. PrimeLayer is a full-stack data platform with AI-assisted analysis layers and automated ingestion pipelines, deployed to production with CI/CD. Capitol Mirror automates the ingestion and structured analysis of government financial disclosure filings through an LLM pipeline I built from scratch. Across all of these, I handled solution design, model and framework selection, API integration, deployment, monitoring, and documentation — the full lifecycle this role describes. At Catalyzt Nutrition I identified and implemented AI-driven solutions across clinical and operations functions, integrating AI outputs with dashboards consumed by C-level leadership, and authored governance and compliance documentation for every AI initiative deployed.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My cloud AI background is strongest on Azure and the surrounding ecosystem, and I have direct experience with enterprise data integration patterns, REST API connectivity, and CI/CD infrastructure that AI solutions need to operate reliably. The Responsible AI and governance requirements in this role align with documentation and compliance work I have done across regulated environments — I understand the importance of model evaluation, limitations documentation, and ensuring AI outputs meet organizational standards before they reach decision-makers. I note the role lists a local NY/NJ preference; I am Virginia Beach-based and fully remote-capable with availability to travel as needed.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