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p>
    <w:p>
      <w:pPr>
        <w:spacing w:after="0" w:before="0"/>
        <w:jc w:val="left"/>
      </w:pPr>
      <w:r>
        <w:rPr>
          <w:rFonts w:ascii="Calibri" w:hAnsi="Calibri"/>
          <w:b w:val="0"/>
          <w:color w:val="718096"/>
          <w:sz w:val="20"/>
        </w:rPr>
        <w:t>Alexander Tobin</w:t>
      </w:r>
    </w:p>
    <w:p>
      <w:pPr>
        <w:spacing w:after="0" w:before="0"/>
        <w:jc w:val="left"/>
      </w:pPr>
      <w:r>
        <w:rPr>
          <w:rFonts w:ascii="Calibri" w:hAnsi="Calibri"/>
          <w:b w:val="0"/>
          <w:color w:val="718096"/>
          <w:sz w:val="20"/>
        </w:rPr>
        <w:t>(757) 289-1204 | atobin@alum.utk.edu | Virginia Beach, VA</w:t>
      </w:r>
    </w:p>
    <w:p>
      <w:pPr>
        <w:spacing w:after="160"/>
        <w:pBdr>
          <w:bottom w:val="single" w:sz="16" w:space="1" w:color="1B7A8C"/>
        </w:pBdr>
      </w:pPr>
    </w:p>
    <w:p>
      <w:pPr>
        <w:spacing w:after="0" w:before="0"/>
        <w:jc w:val="left"/>
      </w:pPr>
      <w:r>
        <w:rPr>
          <w:rFonts w:ascii="Calibri" w:hAnsi="Calibri"/>
          <w:b w:val="0"/>
          <w:color w:val="09152A"/>
          <w:sz w:val="21"/>
        </w:rPr>
        <w:t>September 25, 2026</w:t>
      </w:r>
    </w:p>
    <w:p>
      <w:pPr>
        <w:spacing w:after="120" w:before="0"/>
        <w:jc w:val="left"/>
      </w:pPr>
    </w:p>
    <w:p>
      <w:pPr>
        <w:spacing w:after="80" w:before="0"/>
        <w:jc w:val="left"/>
      </w:pPr>
    </w:p>
    <w:p>
      <w:pPr>
        <w:spacing w:after="160" w:before="0"/>
        <w:jc w:val="left"/>
      </w:pPr>
      <w:r>
        <w:rPr>
          <w:rFonts w:ascii="Calibri" w:hAnsi="Calibri"/>
          <w:b w:val="0"/>
          <w:color w:val="09152A"/>
          <w:sz w:val="22"/>
        </w:rPr>
        <w:t>Hiring Team</w:t>
      </w:r>
    </w:p>
    <w:p>
      <w:pPr>
        <w:spacing w:after="160" w:before="0"/>
        <w:jc w:val="left"/>
      </w:pPr>
      <w:r>
        <w:rPr>
          <w:rFonts w:ascii="Calibri" w:hAnsi="Calibri"/>
          <w:b w:val="0"/>
          <w:color w:val="09152A"/>
          <w:sz w:val="22"/>
        </w:rPr>
        <w:t>GIS — Premier Energy &amp; Infrastructure Services</w:t>
      </w:r>
    </w:p>
    <w:p>
      <w:pPr>
        <w:spacing w:after="160" w:before="0"/>
        <w:jc w:val="left"/>
      </w:pPr>
      <w:r>
        <w:rPr>
          <w:rFonts w:ascii="Calibri" w:hAnsi="Calibri"/>
          <w:b w:val="0"/>
          <w:color w:val="09152A"/>
          <w:sz w:val="22"/>
        </w:rPr>
        <w:t>Houma, LA</w:t>
      </w:r>
    </w:p>
    <w:p>
      <w:pPr>
        <w:spacing w:after="80" w:before="0"/>
        <w:jc w:val="left"/>
      </w:pPr>
    </w:p>
    <w:p>
      <w:pPr>
        <w:spacing w:after="160" w:before="0"/>
        <w:jc w:val="left"/>
      </w:pPr>
      <w:r>
        <w:rPr>
          <w:rFonts w:ascii="Calibri" w:hAnsi="Calibri"/>
          <w:b w:val="0"/>
          <w:color w:val="09152A"/>
          <w:sz w:val="22"/>
        </w:rPr>
        <w:t>---</w:t>
      </w:r>
    </w:p>
    <w:p>
      <w:pPr>
        <w:spacing w:after="80" w:before="0"/>
        <w:jc w:val="left"/>
      </w:pPr>
    </w:p>
    <w:p>
      <w:pPr>
        <w:spacing w:after="200" w:before="0"/>
        <w:jc w:val="left"/>
      </w:pPr>
      <w:r>
        <w:rPr>
          <w:rFonts w:ascii="Calibri" w:hAnsi="Calibri"/>
          <w:b/>
          <w:color w:val="09152A"/>
          <w:sz w:val="22"/>
        </w:rPr>
        <w:t>Dear Hiring Team,</w:t>
      </w:r>
    </w:p>
    <w:p>
      <w:pPr>
        <w:spacing w:after="80" w:before="0"/>
        <w:jc w:val="left"/>
      </w:pPr>
    </w:p>
    <w:p>
      <w:pPr>
        <w:spacing w:after="160" w:before="0"/>
        <w:jc w:val="left"/>
      </w:pPr>
      <w:r>
        <w:rPr>
          <w:rFonts w:ascii="Calibri" w:hAnsi="Calibri"/>
          <w:b w:val="0"/>
          <w:color w:val="09152A"/>
          <w:sz w:val="22"/>
        </w:rPr>
        <w:t>I'm drawn to the AI Business Operations Analyst role at GIS because of what it actually is: a direct-to-CEO position where the job is to find AI and automation opportunities across the business, evaluate them honestly, build the tools and dashboards that make operations visible, and implement solutions that stick. That's the kind of work I've been doing across multiple organizations, and I'm genuinely good at it.</w:t>
      </w:r>
    </w:p>
    <w:p>
      <w:pPr>
        <w:spacing w:after="80" w:before="0"/>
        <w:jc w:val="left"/>
      </w:pPr>
    </w:p>
    <w:p>
      <w:pPr>
        <w:spacing w:after="160" w:before="0"/>
        <w:jc w:val="left"/>
      </w:pPr>
      <w:r>
        <w:rPr>
          <w:rFonts w:ascii="Calibri" w:hAnsi="Calibri"/>
          <w:b w:val="0"/>
          <w:color w:val="09152A"/>
          <w:sz w:val="22"/>
        </w:rPr>
        <w:t>At Catalyzt Nutrition, I worked directly with executive leadership to identify AI and automation improvement opportunities across operations — built the roadmap, prioritized initiatives, deployed no-code AI-enabled workflows, and maintained the executive dashboards that tracked transformation progress. In my freelance engagements across callcathai.online, primelayertrades.com, and hereraspreadsheets.com, I've built expert-level C-suite KPI dashboards for three organizations — production performance, operational, revenue, and supply chain metrics integrated into real-time reporting frameworks that leadership uses for daily decisions. I also design and optimize prompts for document processing, data extraction, and decision support workflows using Claude, Copilot, and GPT-4, and I know the difference between a use case that actually benefits from AI and one where a simpler rules-based solution is the right answer.</w:t>
      </w:r>
    </w:p>
    <w:p>
      <w:pPr>
        <w:spacing w:after="80" w:before="0"/>
        <w:jc w:val="left"/>
      </w:pPr>
    </w:p>
    <w:p>
      <w:pPr>
        <w:spacing w:after="160" w:before="0"/>
        <w:jc w:val="left"/>
      </w:pPr>
      <w:r>
        <w:rPr>
          <w:rFonts w:ascii="Calibri" w:hAnsi="Calibri"/>
          <w:b w:val="0"/>
          <w:color w:val="09152A"/>
          <w:sz w:val="22"/>
        </w:rPr>
        <w:t>On the data side: Power BI and Tableau for visualization, SQL and Python for data extraction and automation, REST APIs for integration. At Ferguson Enterprises, I built and maintained operational reporting across ecommerce and supply chain functions at scale and automated manual data processing with Python scripting.</w:t>
      </w:r>
    </w:p>
    <w:p>
      <w:pPr>
        <w:spacing w:after="80" w:before="0"/>
        <w:jc w:val="left"/>
      </w:pPr>
    </w:p>
    <w:p>
      <w:pPr>
        <w:spacing w:after="160" w:before="0"/>
        <w:jc w:val="left"/>
      </w:pPr>
      <w:r>
        <w:rPr>
          <w:rFonts w:ascii="Calibri" w:hAnsi="Calibri"/>
          <w:b w:val="0"/>
          <w:color w:val="09152A"/>
          <w:sz w:val="22"/>
        </w:rPr>
        <w:t>GIS's infrastructure and energy sector context is new to me, but AI opportunity identification, dashboard development, and automation implementation translate cleanly across industries — what changes is the domain vocabulary, not the analytical approach. I'm interested in the growth path this role offers and the executive exposure that comes with a CEO-direct function. Thank you for your consideration.</w:t>
      </w:r>
    </w:p>
    <w:p>
      <w:pPr>
        <w:spacing w:after="80" w:before="0"/>
        <w:jc w:val="left"/>
      </w:pPr>
    </w:p>
    <w:p>
      <w:pPr>
        <w:spacing w:after="120" w:before="0"/>
        <w:jc w:val="left"/>
      </w:pPr>
    </w:p>
    <w:p>
      <w:pPr>
        <w:spacing w:after="0" w:before="0"/>
        <w:jc w:val="left"/>
      </w:pPr>
      <w:r>
        <w:rPr>
          <w:rFonts w:ascii="Calibri" w:hAnsi="Calibri"/>
          <w:b w:val="0"/>
          <w:color w:val="09152A"/>
          <w:sz w:val="22"/>
        </w:rPr>
        <w:t>Sincerely,</w:t>
      </w:r>
    </w:p>
    <w:p>
      <w:pPr>
        <w:spacing w:after="160" w:before="0"/>
        <w:jc w:val="left"/>
      </w:pPr>
      <w:r>
        <w:rPr>
          <w:rFonts w:ascii="Calibri" w:hAnsi="Calibri"/>
          <w:b w:val="0"/>
          <w:color w:val="09152A"/>
          <w:sz w:val="22"/>
        </w:rPr>
        <w:t>Alexander Tobin</w:t>
      </w:r>
    </w:p>
    <w:sectPr w:rsidR="00FC693F" w:rsidRPr="0006063C" w:rsidSect="00034616">
      <w:pgSz w:w="12240" w:h="15840"/>
      <w:pgMar w:top="1152" w:right="1584" w:bottom="1152"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