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p>
    <w:p>
      <w:pPr>
        <w:spacing w:after="0" w:before="0"/>
        <w:jc w:val="left"/>
      </w:pPr>
      <w:r>
        <w:rPr>
          <w:rFonts w:ascii="Calibri" w:hAnsi="Calibri"/>
          <w:b w:val="0"/>
          <w:color w:val="718096"/>
          <w:sz w:val="20"/>
        </w:rPr>
        <w:t>Alexander Tobin</w:t>
      </w:r>
    </w:p>
    <w:p>
      <w:pPr>
        <w:spacing w:after="0" w:before="0"/>
        <w:jc w:val="left"/>
      </w:pPr>
      <w:r>
        <w:rPr>
          <w:rFonts w:ascii="Calibri" w:hAnsi="Calibri"/>
          <w:b w:val="0"/>
          <w:color w:val="718096"/>
          <w:sz w:val="20"/>
        </w:rPr>
        <w:t>(757) 289-1204 | atobin@alum.utk.edu | Virginia Beach, VA</w:t>
      </w:r>
    </w:p>
    <w:p>
      <w:pPr>
        <w:spacing w:after="160"/>
        <w:pBdr>
          <w:bottom w:val="single" w:sz="16" w:space="1" w:color="1B7A8C"/>
        </w:pBdr>
      </w:pPr>
    </w:p>
    <w:p>
      <w:pPr>
        <w:spacing w:after="0" w:before="0"/>
        <w:jc w:val="left"/>
      </w:pPr>
      <w:r>
        <w:rPr>
          <w:rFonts w:ascii="Calibri" w:hAnsi="Calibri"/>
          <w:b w:val="0"/>
          <w:color w:val="09152A"/>
          <w:sz w:val="21"/>
        </w:rPr>
        <w:t>2026-07-27</w:t>
      </w:r>
    </w:p>
    <w:p>
      <w:pPr>
        <w:spacing w:after="120" w:before="0"/>
        <w:jc w:val="left"/>
      </w:pPr>
    </w:p>
    <w:p>
      <w:pPr>
        <w:spacing w:after="80" w:before="0"/>
        <w:jc w:val="left"/>
      </w:pPr>
    </w:p>
    <w:p>
      <w:pPr>
        <w:spacing w:after="160" w:before="0"/>
        <w:jc w:val="left"/>
      </w:pPr>
      <w:r>
        <w:rPr>
          <w:rFonts w:ascii="Calibri" w:hAnsi="Calibri"/>
          <w:b w:val="0"/>
          <w:color w:val="09152A"/>
          <w:sz w:val="22"/>
        </w:rPr>
        <w:t>Hiring Manager</w:t>
      </w:r>
    </w:p>
    <w:p>
      <w:pPr>
        <w:spacing w:after="160" w:before="0"/>
        <w:jc w:val="left"/>
      </w:pPr>
      <w:r>
        <w:rPr>
          <w:rFonts w:ascii="Calibri" w:hAnsi="Calibri"/>
          <w:b w:val="0"/>
          <w:color w:val="09152A"/>
          <w:sz w:val="22"/>
        </w:rPr>
        <w:t>PrideStaff</w:t>
      </w:r>
    </w:p>
    <w:p>
      <w:pPr>
        <w:spacing w:after="80" w:before="0"/>
        <w:jc w:val="left"/>
      </w:pPr>
    </w:p>
    <w:p>
      <w:pPr>
        <w:spacing w:after="160" w:before="0"/>
        <w:jc w:val="left"/>
      </w:pPr>
      <w:r>
        <w:rPr>
          <w:rFonts w:ascii="Calibri" w:hAnsi="Calibri"/>
          <w:b w:val="0"/>
          <w:color w:val="09152A"/>
          <w:sz w:val="22"/>
        </w:rPr>
        <w:t>---</w:t>
      </w:r>
    </w:p>
    <w:p>
      <w:pPr>
        <w:spacing w:after="80" w:before="0"/>
        <w:jc w:val="left"/>
      </w:pPr>
    </w:p>
    <w:p>
      <w:pPr>
        <w:spacing w:after="200" w:before="0"/>
        <w:jc w:val="left"/>
      </w:pPr>
      <w:r>
        <w:rPr>
          <w:rFonts w:ascii="Calibri" w:hAnsi="Calibri"/>
          <w:b/>
          <w:color w:val="09152A"/>
          <w:sz w:val="22"/>
        </w:rPr>
        <w:t>Dear Hiring Manager,</w:t>
      </w:r>
    </w:p>
    <w:p>
      <w:pPr>
        <w:spacing w:after="80" w:before="0"/>
        <w:jc w:val="left"/>
      </w:pPr>
    </w:p>
    <w:p>
      <w:pPr>
        <w:spacing w:after="160" w:before="0"/>
        <w:jc w:val="left"/>
      </w:pPr>
      <w:r>
        <w:rPr>
          <w:rFonts w:ascii="Calibri" w:hAnsi="Calibri"/>
          <w:b w:val="0"/>
          <w:color w:val="09152A"/>
          <w:sz w:val="22"/>
        </w:rPr>
        <w:t>I am applying for the Website &amp; Systems Integration Administrator role. The work described — managing a WordPress site, building and maintaining Zapier automations, keeping Stripe and Constant Contact connected and accurate, supporting CRM data migrations, and being the go-to technical resource for non-technical leadership — is exactly the kind of systems ownership I have been doing across multiple organizations.</w:t>
      </w:r>
    </w:p>
    <w:p>
      <w:pPr>
        <w:spacing w:after="80" w:before="0"/>
        <w:jc w:val="left"/>
      </w:pPr>
    </w:p>
    <w:p>
      <w:pPr>
        <w:spacing w:after="160" w:before="0"/>
        <w:jc w:val="left"/>
      </w:pPr>
      <w:r>
        <w:rPr>
          <w:rFonts w:ascii="Calibri" w:hAnsi="Calibri"/>
          <w:b w:val="0"/>
          <w:color w:val="09152A"/>
          <w:sz w:val="22"/>
        </w:rPr>
        <w:t>On the integration and automation side, my experience is direct: I have built and maintained multi-step Zapier workflows connecting web forms, CRM systems, payment processors, and email platforms across client engagements. I have diagnosed and resolved integration failures — form submission drops, Stripe reporting mismatches, email sync issues — and I understand both the technical root causes and how to explain them clearly to non-technical stakeholders under time pressure. At Catalyzt Nutrition, I administered the full digital ecosystem — CRM, Stripe, HubSpot, scheduling platforms — and served as the internal first responder for any system affecting revenue or client operations. That is the SLA mindset this role requires. On the data migration side, I have mapped data structures and maintained data integrity during CRM platform transitions, which aligns with the FileMaker to Neon One/Planning Pod migration work described here.</w:t>
      </w:r>
    </w:p>
    <w:p>
      <w:pPr>
        <w:spacing w:after="80" w:before="0"/>
        <w:jc w:val="left"/>
      </w:pPr>
    </w:p>
    <w:p>
      <w:pPr>
        <w:spacing w:after="160" w:before="0"/>
        <w:jc w:val="left"/>
      </w:pPr>
      <w:r>
        <w:rPr>
          <w:rFonts w:ascii="Calibri" w:hAnsi="Calibri"/>
          <w:b w:val="0"/>
          <w:color w:val="09152A"/>
          <w:sz w:val="22"/>
        </w:rPr>
        <w:t>On WordPress specifically: I have hands-on experience with site administration, plugin management, performance optimization, and troubleshooting across client sites. I want to be straightforward that my WordPress depth is stronger on the administration and integration side than on deep custom PHP theme development. If the priority is keeping the site healthy, integrations reliable, and data flowing accurately — that is where my experience is strongest.</w:t>
      </w:r>
    </w:p>
    <w:p>
      <w:pPr>
        <w:spacing w:after="80" w:before="0"/>
        <w:jc w:val="left"/>
      </w:pPr>
    </w:p>
    <w:p>
      <w:pPr>
        <w:spacing w:after="160" w:before="0"/>
        <w:jc w:val="left"/>
      </w:pPr>
      <w:r>
        <w:rPr>
          <w:rFonts w:ascii="Calibri" w:hAnsi="Calibri"/>
          <w:b w:val="0"/>
          <w:color w:val="09152A"/>
          <w:sz w:val="22"/>
        </w:rPr>
        <w:t>I am fully remote, self-directed, and available to acknowledge and respond to critical issues within the SLA windows described.</w:t>
      </w:r>
    </w:p>
    <w:p>
      <w:pPr>
        <w:spacing w:after="80" w:before="0"/>
        <w:jc w:val="left"/>
      </w:pPr>
    </w:p>
    <w:p>
      <w:pPr>
        <w:spacing w:after="120" w:before="0"/>
        <w:jc w:val="left"/>
      </w:pPr>
    </w:p>
    <w:p>
      <w:pPr>
        <w:spacing w:after="0" w:before="0"/>
        <w:jc w:val="left"/>
      </w:pPr>
      <w:r>
        <w:rPr>
          <w:rFonts w:ascii="Calibri" w:hAnsi="Calibri"/>
          <w:b w:val="0"/>
          <w:color w:val="09152A"/>
          <w:sz w:val="22"/>
        </w:rPr>
        <w:t>Sincerely,</w:t>
      </w:r>
    </w:p>
    <w:p>
      <w:pPr>
        <w:spacing w:after="160" w:before="0"/>
        <w:jc w:val="left"/>
      </w:pPr>
      <w:r>
        <w:rPr>
          <w:rFonts w:ascii="Calibri" w:hAnsi="Calibri"/>
          <w:b w:val="0"/>
          <w:color w:val="09152A"/>
          <w:sz w:val="22"/>
        </w:rPr>
        <w:t>Alexander Tobin</w:t>
      </w:r>
    </w:p>
    <w:sectPr w:rsidR="00FC693F" w:rsidRPr="0006063C" w:rsidSect="00034616">
      <w:pgSz w:w="12240" w:h="15840"/>
      <w:pgMar w:top="1152" w:right="1584"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