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Lewis &amp; Clark Capital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Value Creation professional role at Lewis &amp; Clark Capital. The mandate you've described — partnering with portfolio company leadership to identify practical, high-impact technology and automation opportunities, then actually building and deploying them — is exactly how I operate.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builder. Over the past year as a freelance developer, I have taken multiple projects from zero to production: a government data ingestion platform, a logistics tracking tool replacing a fully manual workflow, and a SaaS platform deployed in 7 days. These weren't POCs — they handle real data for real users. Before that, at Catalyzt Nutrition, I built the entire Airtable operational infrastructure from scratch: linked record architecture, role-based interfaces, multi-step automations, API integrations, and client-facing dashboards. I did this by listening to what the business actually needed, translating those needs into systems, and shipping. At Ferguson Enterprises I led data infrastructure projects across IT, Finance, and Operations — gathering requirements, managing timelines, and delivering tools that got adopted and used. I have done this across three different organizations in three very different industries, which I think maps well to the multi-portfolio context of this role.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What I bring specifically: Python and SQL at a working scripting level, REST API integrations, no-code/low-code platforms (Airtable, Smartsheet, Power Platform), AI/LLM implementation in production environments, and strong process documentation habits that turn one-off builds into repeatable playbooks. I am comfortable presenting to and working directly with senior leadership, and I thrive in ambiguous, fast-moving environments where the specification isn't complete before the work begins.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background aligns with what Lewis &amp; Clark Capital is building.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