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p>
    <w:p>
      <w:pPr>
        <w:spacing w:after="0" w:before="0"/>
        <w:jc w:val="left"/>
      </w:pPr>
      <w:r>
        <w:rPr>
          <w:rFonts w:ascii="Calibri" w:hAnsi="Calibri"/>
          <w:b w:val="0"/>
          <w:color w:val="718096"/>
          <w:sz w:val="20"/>
        </w:rPr>
        <w:t>---</w:t>
      </w:r>
    </w:p>
    <w:p>
      <w:pPr>
        <w:spacing w:after="160"/>
        <w:pBdr>
          <w:bottom w:val="single" w:sz="16" w:space="1" w:color="1B7A8C"/>
        </w:pBdr>
      </w:pPr>
    </w:p>
    <w:p>
      <w:pPr>
        <w:spacing w:after="0" w:before="0"/>
        <w:jc w:val="left"/>
      </w:pPr>
      <w:r>
        <w:rPr>
          <w:rFonts w:ascii="Calibri" w:hAnsi="Calibri"/>
          <w:b w:val="0"/>
          <w:color w:val="09152A"/>
          <w:sz w:val="21"/>
        </w:rPr>
        <w:t>Alexander Tobin</w:t>
      </w:r>
    </w:p>
    <w:p>
      <w:pPr>
        <w:spacing w:after="0" w:before="0"/>
        <w:jc w:val="left"/>
      </w:pPr>
      <w:r>
        <w:rPr>
          <w:rFonts w:ascii="Calibri" w:hAnsi="Calibri"/>
          <w:b w:val="0"/>
          <w:color w:val="09152A"/>
          <w:sz w:val="21"/>
        </w:rPr>
        <w:t>(757) 289-1204 | atobin@alum.utk.edu | Virginia Beach, VA</w:t>
      </w:r>
    </w:p>
    <w:p>
      <w:pPr>
        <w:spacing w:after="120" w:before="0"/>
        <w:jc w:val="left"/>
      </w:pPr>
    </w:p>
    <w:p>
      <w:pPr>
        <w:spacing w:after="80" w:before="0"/>
        <w:jc w:val="left"/>
      </w:pPr>
    </w:p>
    <w:p>
      <w:pPr>
        <w:spacing w:after="160" w:before="0"/>
        <w:jc w:val="left"/>
      </w:pPr>
      <w:r>
        <w:rPr>
          <w:rFonts w:ascii="Calibri" w:hAnsi="Calibri"/>
          <w:b w:val="0"/>
          <w:color w:val="09152A"/>
          <w:sz w:val="22"/>
        </w:rPr>
        <w:t>August 27, 2026</w:t>
      </w:r>
    </w:p>
    <w:p>
      <w:pPr>
        <w:spacing w:after="80" w:before="0"/>
        <w:jc w:val="left"/>
      </w:pPr>
    </w:p>
    <w:p>
      <w:pPr>
        <w:spacing w:after="160" w:before="0"/>
        <w:jc w:val="left"/>
      </w:pPr>
      <w:r>
        <w:rPr>
          <w:rFonts w:ascii="Calibri" w:hAnsi="Calibri"/>
          <w:b w:val="0"/>
          <w:color w:val="09152A"/>
          <w:sz w:val="22"/>
        </w:rPr>
        <w:t>Hiring Team</w:t>
      </w:r>
    </w:p>
    <w:p>
      <w:pPr>
        <w:spacing w:after="160" w:before="0"/>
        <w:jc w:val="left"/>
      </w:pPr>
      <w:r>
        <w:rPr>
          <w:rFonts w:ascii="Calibri" w:hAnsi="Calibri"/>
          <w:b w:val="0"/>
          <w:color w:val="09152A"/>
          <w:sz w:val="22"/>
        </w:rPr>
        <w:t>4 Corner Resources</w:t>
      </w:r>
    </w:p>
    <w:p>
      <w:pPr>
        <w:spacing w:after="80" w:before="0"/>
        <w:jc w:val="left"/>
      </w:pPr>
    </w:p>
    <w:p>
      <w:pPr>
        <w:spacing w:after="160" w:before="0"/>
        <w:jc w:val="left"/>
      </w:pPr>
      <w:r>
        <w:rPr>
          <w:rFonts w:ascii="Calibri" w:hAnsi="Calibri"/>
          <w:b w:val="0"/>
          <w:color w:val="09152A"/>
          <w:sz w:val="22"/>
        </w:rPr>
        <w:t>---</w:t>
      </w:r>
    </w:p>
    <w:p>
      <w:pPr>
        <w:spacing w:after="80" w:before="0"/>
        <w:jc w:val="left"/>
      </w:pPr>
    </w:p>
    <w:p>
      <w:pPr>
        <w:spacing w:after="200" w:before="0"/>
        <w:jc w:val="left"/>
      </w:pPr>
      <w:r>
        <w:rPr>
          <w:rFonts w:ascii="Calibri" w:hAnsi="Calibri"/>
          <w:b/>
          <w:color w:val="09152A"/>
          <w:sz w:val="22"/>
        </w:rPr>
        <w:t>Dear Hiring Team,</w:t>
      </w:r>
    </w:p>
    <w:p>
      <w:pPr>
        <w:spacing w:after="80" w:before="0"/>
        <w:jc w:val="left"/>
      </w:pPr>
    </w:p>
    <w:p>
      <w:pPr>
        <w:spacing w:after="160" w:before="0"/>
        <w:jc w:val="left"/>
      </w:pPr>
      <w:r>
        <w:rPr>
          <w:rFonts w:ascii="Calibri" w:hAnsi="Calibri"/>
          <w:b w:val="0"/>
          <w:color w:val="09152A"/>
          <w:sz w:val="22"/>
        </w:rPr>
        <w:t>I am writing to apply for the Data Engineer role. PySpark pipeline development, Java and Python data engineering, and cloud data infrastructure on AWS and Azure are the core of what I have done across every position in my career — not supplemental skills, but the primary technical work I was hired to deliver.</w:t>
      </w:r>
    </w:p>
    <w:p>
      <w:pPr>
        <w:spacing w:after="80" w:before="0"/>
        <w:jc w:val="left"/>
      </w:pPr>
    </w:p>
    <w:p>
      <w:pPr>
        <w:spacing w:after="160" w:before="0"/>
        <w:jc w:val="left"/>
      </w:pPr>
      <w:r>
        <w:rPr>
          <w:rFonts w:ascii="Calibri" w:hAnsi="Calibri"/>
          <w:b w:val="0"/>
          <w:color w:val="09152A"/>
          <w:sz w:val="22"/>
        </w:rPr>
        <w:t>At Ferguson Enterprises, I built and maintained BigQuery data infrastructure, authored PySpark jobs for large-scale data transformation, and engineered pipelines across MS SQL Server, Azure, and AWS S3 for a multi-location ecommerce and supply chain operation. I owned Redshift and Azure SQL pipeline development, automated manual data workflows using Python, and led data lake ingestion workflows while partnering with Engineering on security controls and pipeline reliability for production systems. At Catalyzt Nutrition, I continued that work in a multi-location environment — migrating and integrating data across GCP BigQuery and AWS, building PySpark and Python ETL pipelines, and applying data governance and access controls across production systems. In my current freelance practice, I am engineering cloud-native data systems and automated pipelines on AWS, Azure, and GCP for client organizations, with full CI/CD pipelines and production deployment.</w:t>
      </w:r>
    </w:p>
    <w:p>
      <w:pPr>
        <w:spacing w:after="80" w:before="0"/>
        <w:jc w:val="left"/>
      </w:pPr>
    </w:p>
    <w:p>
      <w:pPr>
        <w:spacing w:after="160" w:before="0"/>
        <w:jc w:val="left"/>
      </w:pPr>
      <w:r>
        <w:rPr>
          <w:rFonts w:ascii="Calibri" w:hAnsi="Calibri"/>
          <w:b w:val="0"/>
          <w:color w:val="09152A"/>
          <w:sz w:val="22"/>
        </w:rPr>
        <w:t>The healthcare context is also one I have worked in. ZenEvo Chocolate, where I served as Supply Chain Data Analyst, was owned by a medical parent company — which meant operating under data integrity, compliance, and security standards aligned with a regulated industry environment. I understand the discipline that healthcare data environments require, and I bring that orientation to every production system I build.</w:t>
      </w:r>
    </w:p>
    <w:p>
      <w:pPr>
        <w:spacing w:after="80" w:before="0"/>
        <w:jc w:val="left"/>
      </w:pPr>
    </w:p>
    <w:p>
      <w:pPr>
        <w:spacing w:after="160" w:before="0"/>
        <w:jc w:val="left"/>
      </w:pPr>
      <w:r>
        <w:rPr>
          <w:rFonts w:ascii="Calibri" w:hAnsi="Calibri"/>
          <w:b w:val="0"/>
          <w:color w:val="09152A"/>
          <w:sz w:val="22"/>
        </w:rPr>
        <w:t>I would welcome the opportunity to discuss this role and how my data engineering background fits what you are building.</w:t>
      </w:r>
    </w:p>
    <w:p>
      <w:pPr>
        <w:spacing w:after="80" w:before="0"/>
        <w:jc w:val="left"/>
      </w:pPr>
    </w:p>
    <w:p>
      <w:pPr>
        <w:spacing w:after="160" w:before="0"/>
        <w:jc w:val="left"/>
      </w:pPr>
      <w:r>
        <w:rPr>
          <w:rFonts w:ascii="Calibri" w:hAnsi="Calibri"/>
          <w:b w:val="0"/>
          <w:color w:val="09152A"/>
          <w:sz w:val="22"/>
        </w:rPr>
        <w:t>Thank you for your consideration.</w:t>
      </w:r>
    </w:p>
    <w:p>
      <w:pPr>
        <w:spacing w:after="80" w:before="0"/>
        <w:jc w:val="left"/>
      </w:pPr>
    </w:p>
    <w:p>
      <w:pPr>
        <w:spacing w:after="120" w:before="0"/>
        <w:jc w:val="left"/>
      </w:pPr>
    </w:p>
    <w:p>
      <w:pPr>
        <w:spacing w:after="0" w:before="0"/>
        <w:jc w:val="left"/>
      </w:pPr>
      <w:r>
        <w:rPr>
          <w:rFonts w:ascii="Calibri" w:hAnsi="Calibri"/>
          <w:b w:val="0"/>
          <w:color w:val="09152A"/>
          <w:sz w:val="22"/>
        </w:rPr>
        <w:t>Sincerely,</w:t>
      </w:r>
    </w:p>
    <w:p>
      <w:pPr>
        <w:spacing w:after="160" w:before="0"/>
        <w:jc w:val="left"/>
      </w:pPr>
      <w:r>
        <w:rPr>
          <w:rFonts w:ascii="Calibri" w:hAnsi="Calibri"/>
          <w:b w:val="0"/>
          <w:color w:val="09152A"/>
          <w:sz w:val="22"/>
        </w:rPr>
        <w:t>Alexander Tobin</w:t>
      </w:r>
    </w:p>
    <w:sectPr w:rsidR="00FC693F" w:rsidRPr="0006063C" w:rsidSect="00034616">
      <w:pgSz w:w="12240" w:h="15840"/>
      <w:pgMar w:top="1152" w:right="1584"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