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31,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Aristocrat Interactive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my strong interest in the Business Intelligence Analyst role at Aristocrat Interactive. With 7+ years of experience building SQL-driven BI platforms, Power BI dashboards, and advanced analytical solutions for digital and operational businesses — paired with deep expertise in requirements elicitation, documentation, and cross-functional stakeholder partnership — I am confident I can contribute meaningfully to your iLottery analytics and insights function.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SQL, Reporting &amp; BI Platform Delivery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have built end-to-end BI solutions across every position in my career — writing complex SQL queries against MS SQL Server and BigQuery, developing Power BI reports with DAX modeling and executive-ready dashboard design, and delivering full documentation suites for all analytical deliverables. At Ferguson Enterprises, I built the BI reporting infrastructure for a large-scale, multi-location ecommerce operation — handling digital channel benchmarking, campaign performance analysis, and KPI dashboards for the CFO, VP of Finance, and EVP of Sales, with requirements gathered directly from cross-functional business leaders. In my freelance practice, I have built BI platforms for three client organizations: at callcatchai.online, delivering a Power BI dashboard suite for digital call analytics; at primelayertrades.com, building CRM performance analytics and channel benchmarking with rigorous data validation; and at hereraspreadsheets.com, designing expert-level executive KPI reporting infrastructure with advanced Excel, Power BI, and full documentation.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Marketing Analytics, CRM &amp; Actionable Insights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have analyzed digital channel performance, CRM campaign results, and operational metrics — and I lead with the insight and recommendation, not just the report. I apply advanced Excel (Power Query, Power Pivot, XLOOKUP, ARRAY formulas, Pivot Tables) for ad hoc analysis and use structured requirements-gathering processes to ensure every deliverable aligns with what stakeholders actually need. I maintain a high standard for data integrity and validate results before presenting findings — the kind of analytical skepticism that matters when business decisions depend on the numbers.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excited by the opportunity to support Aristocrat Interactive's analytics and insights transformation, and I would welcome the chance to discuss how my background fits your iLottery BI team's needs.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