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color w:val="09152A"/>
          <w:sz w:val="36"/>
        </w:rPr>
        <w:t>(757) 289-1204 | atobin@alum.utk.edu | Virginia Beach, VA</w:t>
      </w:r>
    </w:p>
    <w:p>
      <w:pPr>
        <w:spacing w:after="160"/>
        <w:pBdr>
          <w:bottom w:val="single" w:sz="16" w:space="1" w:color="1B7A8C"/>
        </w:pBdr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1"/>
        </w:rPr>
        <w:t>---</w:t>
      </w:r>
    </w:p>
    <w:p>
      <w:pPr>
        <w:spacing w:after="120" w:before="0"/>
        <w:jc w:val="left"/>
      </w:pP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August 31, 2026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Hiring Manager</w:t>
      </w:r>
    </w:p>
    <w:p>
      <w:pPr>
        <w:spacing w:after="80" w:before="0"/>
        <w:jc w:val="left"/>
      </w:pPr>
    </w:p>
    <w:p>
      <w:pPr>
        <w:spacing w:after="200" w:before="0"/>
        <w:jc w:val="left"/>
      </w:pPr>
      <w:r>
        <w:rPr>
          <w:rFonts w:ascii="Calibri" w:hAnsi="Calibri"/>
          <w:b/>
          <w:color w:val="09152A"/>
          <w:sz w:val="22"/>
        </w:rPr>
        <w:t>Dear Hiring Manager,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am writing to express strong interest in the AI Tech Lead role at your consulting and analytics organization. With 7+ years of hands-on experience designing and deploying enterprise AI systems, LLM-integrated pipelines, and Databricks Lakehouse architectures — while simultaneously mentoring engineers and engaging stakeholders — I am well-positioned to contribute at the intersection of hands-on development and technical leadership this role requires.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AI/LLM Architecture &amp; Databricks Platform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My Databricks expertise spans the full platform: Medallion Architecture (Bronze/Silver/Gold), Delta Live Tables, Unity Catalog, Delta Lake, MLflow experiment tracking, and AI-assisted development with Databricks AI Genie. Across three client organizations in my freelance practice, I have architected and deployed Generative AI and LLM-integrated solutions in production — at callcatchai.online, building RAG-based insight retrieval and AI-assisted executive reporting on Databricks; at primelayertrades.com, architecting an enterprise AI platform with LLM workflow integration, MLflow tracking, and CI/CD for multi-environment model deployment; and at hereraspreadsheets.com, building reusable AI and data engineering frameworks with Spark optimization patterns and streaming pipelines. At Catalyzt Nutrition and Ferguson Enterprises, I implemented Databricks Lakehouse platforms on GCP and Azure at enterprise scale, with PySpark and Spark SQL transformations optimized for production workloads across multi-cloud environments.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MLOps, Python Development &amp; Cloud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design MLOps practices into every AI platform I build — CI/CD pipelines, model tracking, environment governance, and Git-based deployment — and I write Python daily, both for data engineering and AI workflow automation. My cloud experience spans AWS, Azure, and GCP across all positions, and I actively apply prompt engineering and AI output evaluation discipline to ensure production-quality results before anything reaches stakeholders.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</w:r>
      <w:r>
        <w:rPr>
          <w:rFonts w:ascii="Calibri" w:hAnsi="Calibri"/>
          <w:b/>
          <w:color w:val="09152A"/>
          <w:sz w:val="22"/>
        </w:rPr>
        <w:t>Technical Leadership &amp; Stakeholder Engagement</w:t>
      </w:r>
      <w:r>
        <w:rPr>
          <w:rFonts w:ascii="Calibri" w:hAnsi="Calibri"/>
          <w:b w:val="0"/>
          <w:color w:val="09152A"/>
          <w:sz w:val="22"/>
        </w:rPr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enjoy the 70/15/15 split this role describes — most of my time heads-down in code, with meaningful time mentoring engineers and driving stakeholder alignment. I have coached engineering teams on Python, PySpark, AI development best practices, and MLOps workflows, and I have consistently served as the technical voice in executive-level conversations about AI architecture and data platform strategy.</w:t>
      </w:r>
    </w:p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I would welcome the opportunity to discuss how my background aligns with your AI practice's growth plans.</w:t>
      </w:r>
    </w:p>
    <w:p>
      <w:pPr>
        <w:spacing w:after="80" w:before="0"/>
        <w:jc w:val="left"/>
      </w:pPr>
    </w:p>
    <w:p>
      <w:pPr>
        <w:spacing w:after="120" w:before="0"/>
        <w:jc w:val="left"/>
      </w:pPr>
    </w:p>
    <w:p>
      <w:pPr>
        <w:spacing w:after="0" w:before="0"/>
        <w:jc w:val="left"/>
      </w:pPr>
      <w:r>
        <w:rPr>
          <w:rFonts w:ascii="Calibri" w:hAnsi="Calibri"/>
          <w:b w:val="0"/>
          <w:color w:val="09152A"/>
          <w:sz w:val="22"/>
        </w:rPr>
        <w:t>Sincerely,</w:t>
      </w:r>
    </w:p>
    <w:p>
      <w:pPr>
        <w:spacing w:after="160" w:before="0"/>
        <w:jc w:val="left"/>
      </w:pPr>
      <w:r>
        <w:rPr>
          <w:rFonts w:ascii="Calibri" w:hAnsi="Calibri"/>
          <w:b w:val="0"/>
          <w:color w:val="09152A"/>
          <w:sz w:val="22"/>
        </w:rPr>
        <w:t>Alexander Tobin</w:t>
      </w:r>
    </w:p>
    <w:sectPr w:rsidR="00FC693F" w:rsidRPr="0006063C" w:rsidSect="00034616">
      <w:pgSz w:w="12240" w:h="15840"/>
      <w:pgMar w:top="1152" w:right="1584" w:bottom="1152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