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p>
    <w:p>
      <w:pPr>
        <w:spacing w:after="0" w:before="0"/>
        <w:jc w:val="left"/>
      </w:pPr>
      <w:r>
        <w:rPr>
          <w:rFonts w:ascii="Calibri" w:hAnsi="Calibri"/>
          <w:b w:val="0"/>
          <w:color w:val="718096"/>
          <w:sz w:val="20"/>
        </w:rPr>
        <w:t>Alexander Tobin</w:t>
      </w:r>
    </w:p>
    <w:p>
      <w:pPr>
        <w:spacing w:after="0" w:before="0"/>
        <w:jc w:val="left"/>
      </w:pPr>
      <w:r>
        <w:rPr>
          <w:rFonts w:ascii="Calibri" w:hAnsi="Calibri"/>
          <w:b w:val="0"/>
          <w:color w:val="718096"/>
          <w:sz w:val="20"/>
        </w:rPr>
        <w:t>(757) 289-1204 | atobin@alum.utk.edu | Virginia Beach, VA</w:t>
      </w:r>
    </w:p>
    <w:p>
      <w:pPr>
        <w:spacing w:after="160"/>
        <w:pBdr>
          <w:bottom w:val="single" w:sz="16" w:space="1" w:color="1B7A8C"/>
        </w:pBdr>
      </w:pPr>
    </w:p>
    <w:p>
      <w:pPr>
        <w:spacing w:after="0" w:before="0"/>
        <w:jc w:val="left"/>
      </w:pPr>
      <w:r>
        <w:rPr>
          <w:rFonts w:ascii="Calibri" w:hAnsi="Calibri"/>
          <w:b w:val="0"/>
          <w:color w:val="09152A"/>
          <w:sz w:val="21"/>
        </w:rPr>
        <w:t>June 30, 2026</w:t>
      </w:r>
    </w:p>
    <w:p>
      <w:pPr>
        <w:spacing w:after="120" w:before="0"/>
        <w:jc w:val="left"/>
      </w:pPr>
    </w:p>
    <w:p>
      <w:pPr>
        <w:spacing w:after="80" w:before="0"/>
        <w:jc w:val="left"/>
      </w:pPr>
    </w:p>
    <w:p>
      <w:pPr>
        <w:spacing w:after="160" w:before="0"/>
        <w:jc w:val="left"/>
      </w:pPr>
      <w:r>
        <w:rPr>
          <w:rFonts w:ascii="Calibri" w:hAnsi="Calibri"/>
          <w:b w:val="0"/>
          <w:color w:val="09152A"/>
          <w:sz w:val="22"/>
        </w:rPr>
        <w:t>Hiring Team</w:t>
      </w:r>
    </w:p>
    <w:p>
      <w:pPr>
        <w:spacing w:after="160" w:before="0"/>
        <w:jc w:val="left"/>
      </w:pPr>
      <w:r>
        <w:rPr>
          <w:rFonts w:ascii="Calibri" w:hAnsi="Calibri"/>
          <w:b w:val="0"/>
          <w:color w:val="09152A"/>
          <w:sz w:val="22"/>
        </w:rPr>
        <w:t>CredX</w:t>
      </w:r>
    </w:p>
    <w:p>
      <w:pPr>
        <w:spacing w:after="80" w:before="0"/>
        <w:jc w:val="left"/>
      </w:pPr>
    </w:p>
    <w:p>
      <w:pPr>
        <w:spacing w:after="160" w:before="0"/>
        <w:jc w:val="left"/>
      </w:pPr>
      <w:r>
        <w:rPr>
          <w:rFonts w:ascii="Calibri" w:hAnsi="Calibri"/>
          <w:b w:val="0"/>
          <w:color w:val="09152A"/>
          <w:sz w:val="22"/>
        </w:rPr>
        <w:t>---</w:t>
      </w:r>
    </w:p>
    <w:p>
      <w:pPr>
        <w:spacing w:after="80" w:before="0"/>
        <w:jc w:val="left"/>
      </w:pPr>
    </w:p>
    <w:p>
      <w:pPr>
        <w:spacing w:after="200" w:before="0"/>
        <w:jc w:val="left"/>
      </w:pPr>
      <w:r>
        <w:rPr>
          <w:rFonts w:ascii="Calibri" w:hAnsi="Calibri"/>
          <w:b/>
          <w:color w:val="09152A"/>
          <w:sz w:val="22"/>
        </w:rPr>
        <w:t>Dear Hiring Team,</w:t>
      </w:r>
    </w:p>
    <w:p>
      <w:pPr>
        <w:spacing w:after="80" w:before="0"/>
        <w:jc w:val="left"/>
      </w:pPr>
    </w:p>
    <w:p>
      <w:pPr>
        <w:spacing w:after="160" w:before="0"/>
        <w:jc w:val="left"/>
      </w:pPr>
      <w:r>
        <w:rPr>
          <w:rFonts w:ascii="Calibri" w:hAnsi="Calibri"/>
          <w:b w:val="0"/>
          <w:color w:val="09152A"/>
          <w:sz w:val="22"/>
        </w:rPr>
        <w:t>I am writing to apply for the Data Analyst role at CredX. Data analysis has been the throughline of my career across multiple industries — from supply chain operations and B2B e-commerce at Ferguson Enterprises to building production analytics platforms as a freelance developer. The technical stack your posting describes — SQL, Python, Power BI, Tableau, ETL, and Agile delivery — maps closely to how I work every day.</w:t>
      </w:r>
    </w:p>
    <w:p>
      <w:pPr>
        <w:spacing w:after="80" w:before="0"/>
        <w:jc w:val="left"/>
      </w:pPr>
    </w:p>
    <w:p>
      <w:pPr>
        <w:spacing w:after="160" w:before="0"/>
        <w:jc w:val="left"/>
      </w:pPr>
      <w:r>
        <w:rPr>
          <w:rFonts w:ascii="Calibri" w:hAnsi="Calibri"/>
          <w:b w:val="0"/>
          <w:color w:val="09152A"/>
          <w:sz w:val="22"/>
        </w:rPr>
        <w:t>At Ferguson Enterprises, I spent two years building the analytics and reporting infrastructure that powered B2B e-commerce operations at scale. That meant writing complex SQL queries against large MS SQL Server databases, designing ETL workflows in Azure and Excel VBA to automate manual data processes, and translating the output into Power BI dashboards that gave leadership a clear picture of performance. I gathered requirements from cross-functional stakeholders, defined project scope in Agile sprints, and delivered solutions on time — the full cycle from operational need to deployed analytics. As a freelance contractor, I have extended that work into full-stack data platforms: automated ingestion pipelines, structured PostgreSQL schemas, and live API analytics covering real business data at production scale.</w:t>
      </w:r>
    </w:p>
    <w:p>
      <w:pPr>
        <w:spacing w:after="80" w:before="0"/>
        <w:jc w:val="left"/>
      </w:pPr>
    </w:p>
    <w:p>
      <w:pPr>
        <w:spacing w:after="160" w:before="0"/>
        <w:jc w:val="left"/>
      </w:pPr>
      <w:r>
        <w:rPr>
          <w:rFonts w:ascii="Calibri" w:hAnsi="Calibri"/>
          <w:b w:val="0"/>
          <w:color w:val="09152A"/>
          <w:sz w:val="22"/>
        </w:rPr>
        <w:t>What I bring beyond the technical skills is the ability to communicate clearly across the technical/non-technical divide. I have spent years presenting data findings to executives and operations teams who need insight, not methodology — and I know how to build the story that makes the data actionable.</w:t>
      </w:r>
    </w:p>
    <w:p>
      <w:pPr>
        <w:spacing w:after="80" w:before="0"/>
        <w:jc w:val="left"/>
      </w:pPr>
    </w:p>
    <w:p>
      <w:pPr>
        <w:spacing w:after="160" w:before="0"/>
        <w:jc w:val="left"/>
      </w:pPr>
      <w:r>
        <w:rPr>
          <w:rFonts w:ascii="Calibri" w:hAnsi="Calibri"/>
          <w:b w:val="0"/>
          <w:color w:val="09152A"/>
          <w:sz w:val="22"/>
        </w:rPr>
        <w:t>I would welcome the opportunity to bring that combination of technical depth and clear communication to the CredX team.</w:t>
      </w:r>
    </w:p>
    <w:p>
      <w:pPr>
        <w:spacing w:after="80" w:before="0"/>
        <w:jc w:val="left"/>
      </w:pPr>
    </w:p>
    <w:p>
      <w:pPr>
        <w:spacing w:after="120" w:before="0"/>
        <w:jc w:val="left"/>
      </w:pPr>
    </w:p>
    <w:p>
      <w:pPr>
        <w:spacing w:after="0" w:before="0"/>
        <w:jc w:val="left"/>
      </w:pPr>
      <w:r>
        <w:rPr>
          <w:rFonts w:ascii="Calibri" w:hAnsi="Calibri"/>
          <w:b w:val="0"/>
          <w:color w:val="09152A"/>
          <w:sz w:val="22"/>
        </w:rPr>
        <w:t>Sincerely,</w:t>
      </w:r>
    </w:p>
    <w:p>
      <w:pPr>
        <w:spacing w:after="160" w:before="0"/>
        <w:jc w:val="left"/>
      </w:pPr>
      <w:r>
        <w:rPr>
          <w:rFonts w:ascii="Calibri" w:hAnsi="Calibri"/>
          <w:b w:val="0"/>
          <w:color w:val="09152A"/>
          <w:sz w:val="22"/>
        </w:rPr>
        <w:t>Alexander Tobin</w:t>
      </w:r>
    </w:p>
    <w:sectPr w:rsidR="00FC693F" w:rsidRPr="0006063C" w:rsidSect="00034616">
      <w:pgSz w:w="12240" w:h="15840"/>
      <w:pgMar w:top="1152" w:right="1584" w:bottom="1152"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