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September 25,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Experis / Client: Media &amp; Entertainment Company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New York, NY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AI Business Solutions Specialist role your client is hiring for through Experis is a precise description of the work I've been doing for the past year — acting as the primary contact for business unit stakeholders, gathering requirements, building and maintaining workflow automations and business systems, and driving adoption of AI tools including Claude. I noticed the job description specifically mentions Claude Cowork as one of the platforms in scope. I use Claude Code and Claude's API daily in my development and automation work, which means I'm not just capable of supporting adoption — I can answer technical questions about the platform that most generalist trainers can't.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freelance contractor engagements across callcatchai.online, primelayertrades.com, and hereraspreadsheets.com, I serve as the business solutions contact for each organization: conducting requirements-gathering sessions, mapping current-state and future-state workflows, configuring no-code automation platforms (Power Automate, Airtable Automations, Copilot Studio), writing integration specifications, and delivering training and documentation to end users. At Catalyzt Nutrition, I led a full digital transformation program — identifying AI and automation use cases, building solution frameworks, deploying workflows to production, and tracking adoption against expected outcomes. At Ferguson Enterprises, I championed AI and automation adoption across a large-scale ecommerce and supply chain operation, running stakeholder education sessions, building rollout documentation, and gathering feedback to improve capability design over time.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$55/hr contract rate and contract-to-hire trajectory make this role compelling on its own merits. The media/entertainment sector is new territory for me, but the underlying work — requirements, workflow configuration, AI tool adoption, documentation — is exactly what I do. I'd welcome the conversation.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