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2026-07-24</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JDL Access, LLC</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SQL &amp; Power BI Contractor role at JDL Access. Building enterprise reporting infrastructure from the ground up — translating complex business logic into optimized SQL, connecting data sources through reliable ETL pipelines, and surfacing insights through well-structured Power BI dashboards — is the core of what I do.</w:t>
      </w:r>
    </w:p>
    <w:p>
      <w:pPr>
        <w:spacing w:after="80" w:before="0"/>
        <w:jc w:val="left"/>
      </w:pPr>
    </w:p>
    <w:p>
      <w:pPr>
        <w:spacing w:after="160" w:before="0"/>
        <w:jc w:val="left"/>
      </w:pPr>
      <w:r>
        <w:rPr>
          <w:rFonts w:ascii="Calibri" w:hAnsi="Calibri"/>
          <w:b w:val="0"/>
          <w:color w:val="09152A"/>
          <w:sz w:val="22"/>
        </w:rPr>
        <w:t>My background maps directly to what this engagement requires. At Ferguson Enterprises, I spent over two years developing complex SQL queries, stored procedures, and views against large MS SQL Server databases, then translating that data into Power BI executive dashboards adopted across Finance, Operations, and IT. I built DAX measures and metric frameworks, maintained source-to-target mappings and data lineage documentation, and delivered reporting infrastructure that the business relied on for ongoing decision-making. On the data modeling side, I have extensive experience with star schemas, dimensional design, and the kind of careful documentation that keeps reporting maintainable long after a contractor engagement ends. On the freelance side, I have built production PostgreSQL-backed analytics platforms with structured ETL pipelines, JSON-format ingestion, and governance documentation throughout — which directly translates to the MongoDB-to-Power BI transformation work this role requires.</w:t>
      </w:r>
    </w:p>
    <w:p>
      <w:pPr>
        <w:spacing w:after="80" w:before="0"/>
        <w:jc w:val="left"/>
      </w:pPr>
    </w:p>
    <w:p>
      <w:pPr>
        <w:spacing w:after="160" w:before="0"/>
        <w:jc w:val="left"/>
      </w:pPr>
      <w:r>
        <w:rPr>
          <w:rFonts w:ascii="Calibri" w:hAnsi="Calibri"/>
          <w:b w:val="0"/>
          <w:color w:val="09152A"/>
          <w:sz w:val="22"/>
        </w:rPr>
        <w:t>I bring a contractor's discipline to this kind of engagement: I document as I build, I write clean and readable query logic, and I structure reporting definitions so your developer and operations teams can own the output after the engagement closes. I am a fast learner in new data environments and confident I can get productive quickly within your MongoDB-backed platform.</w:t>
      </w:r>
    </w:p>
    <w:p>
      <w:pPr>
        <w:spacing w:after="80" w:before="0"/>
        <w:jc w:val="left"/>
      </w:pPr>
    </w:p>
    <w:p>
      <w:pPr>
        <w:spacing w:after="160" w:before="0"/>
        <w:jc w:val="left"/>
      </w:pPr>
      <w:r>
        <w:rPr>
          <w:rFonts w:ascii="Calibri" w:hAnsi="Calibri"/>
          <w:b w:val="0"/>
          <w:color w:val="09152A"/>
          <w:sz w:val="22"/>
        </w:rPr>
        <w:t>I would welcome the opportunity to discuss the engagement.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