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Alexander Tobin</w:t>
      </w: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(757) 289-1204 | atobin@alum.utk.edu | Virginia Beach, VA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June 30, 2026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Team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Lewis &amp; Clark Capital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---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Team,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writing to apply for the Value Creation professional role at Lewis &amp; Clark Capital. The mandate you've described — partnering with portfolio company leadership to identify practical, high-impact technology and automation opportunities, then actually building and deploying them — is exactly how I operate.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a builder. Over the past year as a freelance developer, I have taken multiple projects from zero to production: a government data ingestion platform, a logistics tracking tool replacing a fully manual workflow, and a SaaS platform deployed in 7 days. These weren't POCs — they handle real data for real users. Before that, at Catalyzt Nutrition, I built the entire Airtable operational infrastructure from scratch: linked record architecture, role-based interfaces, multi-step automations, API integrations, and client-facing dashboards. I did this by listening to what the business actually needed, translating those needs into systems, and shipping. At Ferguson Enterprises I led data infrastructure projects across IT, Finance, and Operations — gathering requirements, managing timelines, and delivering tools that got adopted and used. I have done this across three different organizations in three very different industries, which I think maps well to the multi-portfolio context of this role.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What I bring specifically: Python and SQL at a working scripting level, REST API integrations, no-code/low-code platforms (Airtable, Smartsheet, Power Platform), AI/LLM implementation in production environments, and strong process documentation habits that turn one-off builds into repeatable playbooks. I am comfortable presenting to and working directly with senior leadership, and I thrive in ambiguous, fast-moving environments where the specification isn't complete before the work begins.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would welcome the opportunity to discuss how my background aligns with what Lewis &amp; Clark Capital is building.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