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2026-08-05</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Liviniti</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Proposal Strategist/Writer role at Liviniti. Writing contract proposals and RFx responses has been a core function across every role in my career — not adjacent work I've touched occasionally, but the primary mechanism through which I've formalized client engagements, vendor agreements, and technology implementations in every context I've worked in. The skills Liviniti is looking for — SME coordination, compliance-driven content development, win theme integration, quality review, and deadline management — describe work I've been doing throughout my professional history.</w:t>
      </w:r>
    </w:p>
    <w:p>
      <w:pPr>
        <w:spacing w:after="80" w:before="0"/>
        <w:jc w:val="left"/>
      </w:pPr>
    </w:p>
    <w:p>
      <w:pPr>
        <w:spacing w:after="160" w:before="0"/>
        <w:jc w:val="left"/>
      </w:pPr>
      <w:r>
        <w:rPr>
          <w:rFonts w:ascii="Calibri" w:hAnsi="Calibri"/>
          <w:b w:val="0"/>
          <w:color w:val="09152A"/>
          <w:sz w:val="22"/>
        </w:rPr>
        <w:t>At Ferguson Enterprises, I authored and coordinated technical proposals and integration specification documents for vendor onboarding and enterprise platform projects. These were compliance-driven deliverables reviewed by IT leadership, operations, and external trading partners — functionally identical to RFx responses in terms of structure, stakeholder coordination, review cycles, and submission requirements. At Catalyzt Nutrition, I wrote and managed contract proposals for technology implementations, platform integrations, and consulting engagements, coordinating directly with C-level leadership to ensure accuracy, compliance, and strategic alignment. As a freelance consultant, every client engagement began with a contract proposal I developed end-to-end — scope of work, deliverables, pricing structures, timelines, and compliance terms — and I coordinated review cycles, incorporated feedback, and delivered final outputs clients signed off on. Across all three contexts, the core process was the same: gather requirements from stakeholders, draft structured compliance-aligned content, manage the review cycle, deliver a polished final output on deadline.</w:t>
      </w:r>
    </w:p>
    <w:p>
      <w:pPr>
        <w:spacing w:after="80" w:before="0"/>
        <w:jc w:val="left"/>
      </w:pPr>
    </w:p>
    <w:p>
      <w:pPr>
        <w:spacing w:after="160" w:before="0"/>
        <w:jc w:val="left"/>
      </w:pPr>
      <w:r>
        <w:rPr>
          <w:rFonts w:ascii="Calibri" w:hAnsi="Calibri"/>
          <w:b w:val="0"/>
          <w:color w:val="09152A"/>
          <w:sz w:val="22"/>
        </w:rPr>
        <w:t>The PBM-specific context at Liviniti is new to me, and I expect a learning curve on industry-specific terminology and requirements. But the proposal development process — color team reviews, compliance matrices, win theme incorporation, milestone tracking, and SME coordination — is a framework I understand and have executed across regulated, high-stakes environments. I am confident I can contribute to Liviniti's proposal function from day one and build depth in PBM-specific methodology quickly.</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