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30,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Microflexinfra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Business Data Analyst role at Microflexinfra. Data collection, cleaning, and reporting have been at the core of my work for over a decade — across supply chain, B2B e-commerce, and logistics — and I bring practical experience with every tool in your stack: SQL, Excel, Power BI, and Tableau.</w:t>
      </w:r>
    </w:p>
    <w:p>
      <w:pPr>
        <w:spacing w:after="80" w:before="0"/>
        <w:jc w:val="left"/>
      </w:pPr>
    </w:p>
    <w:p>
      <w:pPr>
        <w:spacing w:after="160" w:before="0"/>
        <w:jc w:val="left"/>
      </w:pPr>
      <w:r>
        <w:rPr>
          <w:rFonts w:ascii="Calibri" w:hAnsi="Calibri"/>
          <w:b w:val="0"/>
          <w:color w:val="09152A"/>
          <w:sz w:val="22"/>
        </w:rPr>
        <w:t>At Ferguson Enterprises I built and maintained the reporting infrastructure used by leadership across sales, operations, and finance. That meant writing SQL queries daily against large MS SQL Server databases, building Power BI dashboards that translated multi-source data into clear business narratives, and supporting teams with ad hoc analysis and reporting requests. I also owned the documentation side — defining KPIs, recording metric logic, and ensuring that anyone picking up a report understood what they were looking at and why. At Catalyzt Nutrition I maintained dashboards across marketing and logistics, supported cross-functional stakeholders with data requests, and used AI tools to accelerate data cleaning and documentation workflows.</w:t>
      </w:r>
    </w:p>
    <w:p>
      <w:pPr>
        <w:spacing w:after="80" w:before="0"/>
        <w:jc w:val="left"/>
      </w:pPr>
    </w:p>
    <w:p>
      <w:pPr>
        <w:spacing w:after="160" w:before="0"/>
        <w:jc w:val="left"/>
      </w:pPr>
      <w:r>
        <w:rPr>
          <w:rFonts w:ascii="Calibri" w:hAnsi="Calibri"/>
          <w:b w:val="0"/>
          <w:color w:val="09152A"/>
          <w:sz w:val="22"/>
        </w:rPr>
        <w:t>I take care with the details because I know that inaccurate reporting erodes trust fast, and rebuilding it is hard. I also know how to present findings in plain language — I have spent years translating analytical outputs for operations managers, sales leads, and executives who need to act on data, not study it.</w:t>
      </w:r>
    </w:p>
    <w:p>
      <w:pPr>
        <w:spacing w:after="80" w:before="0"/>
        <w:jc w:val="left"/>
      </w:pPr>
    </w:p>
    <w:p>
      <w:pPr>
        <w:spacing w:after="160" w:before="0"/>
        <w:jc w:val="left"/>
      </w:pPr>
      <w:r>
        <w:rPr>
          <w:rFonts w:ascii="Calibri" w:hAnsi="Calibri"/>
          <w:b w:val="0"/>
          <w:color w:val="09152A"/>
          <w:sz w:val="22"/>
        </w:rPr>
        <w:t>I would be glad to contribute that combination of technical execution and clear communication to Microflexinfra.</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