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September 25,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Navy Federal Credit Union</w:t>
      </w:r>
    </w:p>
    <w:p>
      <w:pPr>
        <w:spacing w:after="160" w:before="0"/>
        <w:jc w:val="left"/>
      </w:pPr>
      <w:r>
        <w:rPr>
          <w:rFonts w:ascii="Calibri" w:hAnsi="Calibri"/>
          <w:b w:val="0"/>
          <w:color w:val="09152A"/>
          <w:sz w:val="22"/>
        </w:rPr>
        <w:t>Winchester / Vienna, VA</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AI transformation programs succeed or fail on the quality of the measurement infrastructure built around them. I've spent the past several years doing exactly this work — defining what "success" means before any tool is deployed, building the portfolio dashboards and scorecards that make performance visible to leadership, and driving the adoption and change management activities that turn new capabilities into durable business value. The AI Business Transformation Analyst role at Navy Federal is precisely the intersection of those disciplines, and I'm excited to apply.</w:t>
      </w:r>
    </w:p>
    <w:p>
      <w:pPr>
        <w:spacing w:after="80" w:before="0"/>
        <w:jc w:val="left"/>
      </w:pPr>
    </w:p>
    <w:p>
      <w:pPr>
        <w:spacing w:after="160" w:before="0"/>
        <w:jc w:val="left"/>
      </w:pPr>
      <w:r>
        <w:rPr>
          <w:rFonts w:ascii="Calibri" w:hAnsi="Calibri"/>
          <w:b w:val="0"/>
          <w:color w:val="09152A"/>
          <w:sz w:val="22"/>
        </w:rPr>
        <w:t>In my freelance contractor work across three active client organizations — callcatchai.online, primelayertrades.com, and hereraspreadsheets.com — I designed and operationalized AI Value Realization frameworks from the ground up. That meant establishing baselines and success metrics before rollout, tracking realized benefits post-implementation, and reporting portfolio performance to C-suite in dashboards that showed initiative progress, KPI attainment, and ROI against expected outcomes. At Catalyzt Nutrition, I led a full digital transformation program — mapping current-state processes, identifying AI and automation opportunities, building the solution roadmap, and maintaining the executive-facing tracking infrastructure that kept leadership aligned on what was working and what needed adjustment. At Ferguson Enterprises, I partnered directly with the CFO, VP of Finance, and EVP of Sales to develop business cases for technology investments, built Power BI portfolio dashboards tracking initiative performance at scale, and championed AI and automation adoption through structured stakeholder education.</w:t>
      </w:r>
    </w:p>
    <w:p>
      <w:pPr>
        <w:spacing w:after="80" w:before="0"/>
        <w:jc w:val="left"/>
      </w:pPr>
    </w:p>
    <w:p>
      <w:pPr>
        <w:spacing w:after="160" w:before="0"/>
        <w:jc w:val="left"/>
      </w:pPr>
      <w:r>
        <w:rPr>
          <w:rFonts w:ascii="Calibri" w:hAnsi="Calibri"/>
          <w:b w:val="0"/>
          <w:color w:val="09152A"/>
          <w:sz w:val="22"/>
        </w:rPr>
        <w:t>On the technical side, I've built production AI agent workflows using Power Automate, Copilot Studio, and LLM prompt frameworks — including system-level and tool-call prompt design for document processing, data extraction, classification, and decision support. I apply responsible AI practices including output validation and auditability in every workflow I build. My prompt engineering work spans Claude, Microsoft Copilot, and GPT-4, and I understand both the capability ceiling and the governance requirements that make these systems trustworthy in an enterprise context.</w:t>
      </w:r>
    </w:p>
    <w:p>
      <w:pPr>
        <w:spacing w:after="80" w:before="0"/>
        <w:jc w:val="left"/>
      </w:pPr>
    </w:p>
    <w:p>
      <w:pPr>
        <w:spacing w:after="160" w:before="0"/>
        <w:jc w:val="left"/>
      </w:pPr>
      <w:r>
        <w:rPr>
          <w:rFonts w:ascii="Calibri" w:hAnsi="Calibri"/>
          <w:b w:val="0"/>
          <w:color w:val="09152A"/>
          <w:sz w:val="22"/>
        </w:rPr>
        <w:t>Navy Federal's scale — and the trust your members place in the institution — makes the value realization and governance disciplines even more critical here than in most organizations. I'd welcome the opportunity to bring that measurement-first, stakeholder-centered approach to your AI transformation portfolio. 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