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w:t>
      </w:r>
    </w:p>
    <w:p>
      <w:pPr>
        <w:spacing w:after="160"/>
        <w:pBdr>
          <w:bottom w:val="single" w:sz="16" w:space="1" w:color="1B7A8C"/>
        </w:pBdr>
      </w:pPr>
    </w:p>
    <w:p>
      <w:pPr>
        <w:spacing w:after="0" w:before="0"/>
        <w:jc w:val="left"/>
      </w:pPr>
      <w:r>
        <w:rPr>
          <w:rFonts w:ascii="Calibri" w:hAnsi="Calibri"/>
          <w:b w:val="0"/>
          <w:color w:val="09152A"/>
          <w:sz w:val="21"/>
        </w:rPr>
        <w:t>Alexander Tobin</w:t>
      </w:r>
    </w:p>
    <w:p>
      <w:pPr>
        <w:spacing w:after="0" w:before="0"/>
        <w:jc w:val="left"/>
      </w:pPr>
      <w:r>
        <w:rPr>
          <w:rFonts w:ascii="Calibri" w:hAnsi="Calibri"/>
          <w:b w:val="0"/>
          <w:color w:val="09152A"/>
          <w:sz w:val="21"/>
        </w:rPr>
        <w:t>(757) 289-1204 | atobin@alum.utk.edu | Virginia Beach, VA</w:t>
      </w:r>
    </w:p>
    <w:p>
      <w:pPr>
        <w:spacing w:after="120" w:before="0"/>
        <w:jc w:val="left"/>
      </w:pPr>
    </w:p>
    <w:p>
      <w:pPr>
        <w:spacing w:after="80" w:before="0"/>
        <w:jc w:val="left"/>
      </w:pPr>
    </w:p>
    <w:p>
      <w:pPr>
        <w:spacing w:after="160" w:before="0"/>
        <w:jc w:val="left"/>
      </w:pPr>
      <w:r>
        <w:rPr>
          <w:rFonts w:ascii="Calibri" w:hAnsi="Calibri"/>
          <w:b w:val="0"/>
          <w:color w:val="09152A"/>
          <w:sz w:val="22"/>
        </w:rPr>
        <w:t>August 21, 2026</w:t>
      </w: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O'Hara's Son Roofing</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Manager, Financial Planning &amp; Analysis role at O'Hara's Son Roofing. Financial planning, forecasting, and executive reporting are not background skills for me — they are the core of what I have done throughout my career. I have owned budgeting and forecasting cycles, managed quarterly budgets from $100K to over $1M annually, and delivered board-ready variance analysis and financial packages directly to CEOs, CFOs, VPs of Finance, and EVPs of Sales across every organization I have worked with.</w:t>
      </w:r>
    </w:p>
    <w:p>
      <w:pPr>
        <w:spacing w:after="80" w:before="0"/>
        <w:jc w:val="left"/>
      </w:pPr>
    </w:p>
    <w:p>
      <w:pPr>
        <w:spacing w:after="160" w:before="0"/>
        <w:jc w:val="left"/>
      </w:pPr>
      <w:r>
        <w:rPr>
          <w:rFonts w:ascii="Calibri" w:hAnsi="Calibri"/>
          <w:b w:val="0"/>
          <w:color w:val="09152A"/>
          <w:sz w:val="22"/>
        </w:rPr>
        <w:t>Where I believe I stand apart is in the quality of financial reporting infrastructure I build. At Ferguson Enterprises, I designed and delivered expert-level Power BI KPI dashboards and executive reporting frameworks that C-suite leadership adopted for strategic and board-level decision-making — multi-dimensional views across business units, regions, and operational segments, fed by automated data pipelines that eliminated manual processing and improved reporting accuracy. That is the kind of financial intelligence infrastructure OSR is describing in this role, and it is work I have done repeatedly and at a high level. At ZenEvo Chocolate, I owned the full financial planning function for a supply chain operation — tracking revenue, margins, COGS, and KPIs with monthly reporting directly to the CEO and VP of Finance and presenting actionable performance recommendations to cross-functional leadership.</w:t>
      </w:r>
    </w:p>
    <w:p>
      <w:pPr>
        <w:spacing w:after="80" w:before="0"/>
        <w:jc w:val="left"/>
      </w:pPr>
    </w:p>
    <w:p>
      <w:pPr>
        <w:spacing w:after="160" w:before="0"/>
        <w:jc w:val="left"/>
      </w:pPr>
      <w:r>
        <w:rPr>
          <w:rFonts w:ascii="Calibri" w:hAnsi="Calibri"/>
          <w:b w:val="0"/>
          <w:color w:val="09152A"/>
          <w:sz w:val="22"/>
        </w:rPr>
        <w:t>OSR's profile — a PE-backed, multi-location operation executing a growth strategy through organic expansion and acquisition — is exactly the environment where this kind of FP&amp;A capability creates real value. I understand the reporting cadence a private equity sponsor requires, the visibility across regions and business units that leadership needs, and the systems discipline required to maintain data integrity as the business scales. I am a continuous improvement thinker by nature and a builder by instinct — I identify reporting gaps and fix them, rather than waiting to be asked.</w:t>
      </w:r>
    </w:p>
    <w:p>
      <w:pPr>
        <w:spacing w:after="80" w:before="0"/>
        <w:jc w:val="left"/>
      </w:pPr>
    </w:p>
    <w:p>
      <w:pPr>
        <w:spacing w:after="160" w:before="0"/>
        <w:jc w:val="left"/>
      </w:pPr>
      <w:r>
        <w:rPr>
          <w:rFonts w:ascii="Calibri" w:hAnsi="Calibri"/>
          <w:b w:val="0"/>
          <w:color w:val="09152A"/>
          <w:sz w:val="22"/>
        </w:rPr>
        <w:t>I would welcome the opportunity to discuss this role and how my experience fits OSR's needs.</w:t>
      </w:r>
    </w:p>
    <w:p>
      <w:pPr>
        <w:spacing w:after="80" w:before="0"/>
        <w:jc w:val="left"/>
      </w:pPr>
    </w:p>
    <w:p>
      <w:pPr>
        <w:spacing w:after="160" w:before="0"/>
        <w:jc w:val="left"/>
      </w:pPr>
      <w:r>
        <w:rPr>
          <w:rFonts w:ascii="Calibri" w:hAnsi="Calibri"/>
          <w:b w:val="0"/>
          <w:color w:val="09152A"/>
          <w:sz w:val="22"/>
        </w:rPr>
        <w:t>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