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40" w:before="0"/>
        <w:jc w:val="left"/>
      </w:pPr>
    </w:p>
    <w:p>
      <w:pPr>
        <w:spacing w:after="0" w:before="0"/>
        <w:jc w:val="left"/>
      </w:pPr>
      <w:r>
        <w:rPr>
          <w:rFonts w:ascii="Calibri" w:hAnsi="Calibri"/>
          <w:b w:val="0"/>
          <w:color w:val="718096"/>
          <w:sz w:val="20"/>
        </w:rPr>
        <w:t>---</w:t>
      </w:r>
    </w:p>
    <w:p>
      <w:pPr>
        <w:spacing w:after="160"/>
        <w:pBdr>
          <w:bottom w:val="single" w:sz="16" w:space="1" w:color="1B7A8C"/>
        </w:pBdr>
      </w:pPr>
    </w:p>
    <w:p>
      <w:pPr>
        <w:spacing w:after="0" w:before="0"/>
        <w:jc w:val="left"/>
      </w:pPr>
      <w:r>
        <w:rPr>
          <w:rFonts w:ascii="Calibri" w:hAnsi="Calibri"/>
          <w:b w:val="0"/>
          <w:color w:val="09152A"/>
          <w:sz w:val="21"/>
        </w:rPr>
        <w:t>Alexander Tobin</w:t>
      </w:r>
    </w:p>
    <w:p>
      <w:pPr>
        <w:spacing w:after="0" w:before="0"/>
        <w:jc w:val="left"/>
      </w:pPr>
      <w:r>
        <w:rPr>
          <w:rFonts w:ascii="Calibri" w:hAnsi="Calibri"/>
          <w:b w:val="0"/>
          <w:color w:val="09152A"/>
          <w:sz w:val="21"/>
        </w:rPr>
        <w:t>(757) 289-1204 | atobin@alum.utk.edu | Virginia Beach, VA</w:t>
      </w:r>
    </w:p>
    <w:p>
      <w:pPr>
        <w:spacing w:after="120" w:before="0"/>
        <w:jc w:val="left"/>
      </w:pPr>
    </w:p>
    <w:p>
      <w:pPr>
        <w:spacing w:after="80" w:before="0"/>
        <w:jc w:val="left"/>
      </w:pPr>
    </w:p>
    <w:p>
      <w:pPr>
        <w:spacing w:after="160" w:before="0"/>
        <w:jc w:val="left"/>
      </w:pPr>
      <w:r>
        <w:rPr>
          <w:rFonts w:ascii="Calibri" w:hAnsi="Calibri"/>
          <w:b w:val="0"/>
          <w:color w:val="09152A"/>
          <w:sz w:val="22"/>
        </w:rPr>
        <w:t>August 27, 2026</w:t>
      </w:r>
    </w:p>
    <w:p>
      <w:pPr>
        <w:spacing w:after="80" w:before="0"/>
        <w:jc w:val="left"/>
      </w:pPr>
    </w:p>
    <w:p>
      <w:pPr>
        <w:spacing w:after="160" w:before="0"/>
        <w:jc w:val="left"/>
      </w:pPr>
      <w:r>
        <w:rPr>
          <w:rFonts w:ascii="Calibri" w:hAnsi="Calibri"/>
          <w:b w:val="0"/>
          <w:color w:val="09152A"/>
          <w:sz w:val="22"/>
        </w:rPr>
        <w:t>Hiring Team</w:t>
      </w:r>
    </w:p>
    <w:p>
      <w:pPr>
        <w:spacing w:after="160" w:before="0"/>
        <w:jc w:val="left"/>
      </w:pPr>
      <w:r>
        <w:rPr>
          <w:rFonts w:ascii="Calibri" w:hAnsi="Calibri"/>
          <w:b w:val="0"/>
          <w:color w:val="09152A"/>
          <w:sz w:val="22"/>
        </w:rPr>
        <w:t>Optum</w:t>
      </w:r>
    </w:p>
    <w:p>
      <w:pPr>
        <w:spacing w:after="80" w:before="0"/>
        <w:jc w:val="left"/>
      </w:pPr>
    </w:p>
    <w:p>
      <w:pPr>
        <w:spacing w:after="160" w:before="0"/>
        <w:jc w:val="left"/>
      </w:pPr>
      <w:r>
        <w:rPr>
          <w:rFonts w:ascii="Calibri" w:hAnsi="Calibri"/>
          <w:b w:val="0"/>
          <w:color w:val="09152A"/>
          <w:sz w:val="22"/>
        </w:rPr>
        <w:t>---</w:t>
      </w:r>
    </w:p>
    <w:p>
      <w:pPr>
        <w:spacing w:after="80" w:before="0"/>
        <w:jc w:val="left"/>
      </w:pPr>
    </w:p>
    <w:p>
      <w:pPr>
        <w:spacing w:after="200" w:before="0"/>
        <w:jc w:val="left"/>
      </w:pPr>
      <w:r>
        <w:rPr>
          <w:rFonts w:ascii="Calibri" w:hAnsi="Calibri"/>
          <w:b/>
          <w:color w:val="09152A"/>
          <w:sz w:val="22"/>
        </w:rPr>
        <w:t>Dear Hiring Team,</w:t>
      </w:r>
    </w:p>
    <w:p>
      <w:pPr>
        <w:spacing w:after="80" w:before="0"/>
        <w:jc w:val="left"/>
      </w:pPr>
    </w:p>
    <w:p>
      <w:pPr>
        <w:spacing w:after="160" w:before="0"/>
        <w:jc w:val="left"/>
      </w:pPr>
      <w:r>
        <w:rPr>
          <w:rFonts w:ascii="Calibri" w:hAnsi="Calibri"/>
          <w:b w:val="0"/>
          <w:color w:val="09152A"/>
          <w:sz w:val="22"/>
        </w:rPr>
        <w:t>I am writing to apply for the Business Intelligence Analyst role at Optum. Building BI solutions, developing dashboards, performing analysis to distinguish patterns and trends, and translating data into actionable insights for leadership — this is the core of what I have done throughout my career.</w:t>
      </w:r>
    </w:p>
    <w:p>
      <w:pPr>
        <w:spacing w:after="80" w:before="0"/>
        <w:jc w:val="left"/>
      </w:pPr>
    </w:p>
    <w:p>
      <w:pPr>
        <w:spacing w:after="160" w:before="0"/>
        <w:jc w:val="left"/>
      </w:pPr>
      <w:r>
        <w:rPr>
          <w:rFonts w:ascii="Calibri" w:hAnsi="Calibri"/>
          <w:b w:val="0"/>
          <w:color w:val="09152A"/>
          <w:sz w:val="22"/>
        </w:rPr>
        <w:t>At Ferguson Enterprises, I built expert-level Power BI executive dashboards and KPI frameworks that C-suite leadership adopted for strategic and board-level decision-making, designing multi-dimensional performance views across regions, business units, and operational segments. I performed advanced data analysis across large MS SQL Server, Azure, and BigQuery datasets — identifying patterns, trends, and anomalies — and developed segmentation models, business case analyses, and decision support tools for financial planning and operational performance. I engineered ETL pipelines and data normalization processes that ensured data integrity across all reporting systems, and automated data workflows using Python and Excel VBA. At Catalyzt Nutrition, I continued that work in a multi-location environment — building Power BI BI dashboards and reporting infrastructure, performing trend and variance analysis, and developing actionable insights and strategic recommendations delivered directly to executive leadership.</w:t>
      </w:r>
    </w:p>
    <w:p>
      <w:pPr>
        <w:spacing w:after="80" w:before="0"/>
        <w:jc w:val="left"/>
      </w:pPr>
    </w:p>
    <w:p>
      <w:pPr>
        <w:spacing w:after="160" w:before="0"/>
        <w:jc w:val="left"/>
      </w:pPr>
      <w:r>
        <w:rPr>
          <w:rFonts w:ascii="Calibri" w:hAnsi="Calibri"/>
          <w:b w:val="0"/>
          <w:color w:val="09152A"/>
          <w:sz w:val="22"/>
        </w:rPr>
        <w:t>In my current freelance practice, I am building BI solutions and executive reporting infrastructure for clients including callcatchai.online, primelayertrades.com, and hereraspreadsheets.com — developing dashboards, segmentation models, business case analyses, and data visualization tools that connect raw data to the decisions leaders need to make. Data quality and normalization discipline is embedded in every pipeline I build.</w:t>
      </w:r>
    </w:p>
    <w:p>
      <w:pPr>
        <w:spacing w:after="80" w:before="0"/>
        <w:jc w:val="left"/>
      </w:pPr>
    </w:p>
    <w:p>
      <w:pPr>
        <w:spacing w:after="160" w:before="0"/>
        <w:jc w:val="left"/>
      </w:pPr>
      <w:r>
        <w:rPr>
          <w:rFonts w:ascii="Calibri" w:hAnsi="Calibri"/>
          <w:b w:val="0"/>
          <w:color w:val="09152A"/>
          <w:sz w:val="22"/>
        </w:rPr>
        <w:t>Optum's mission to connect people with the care and data they need to feel their best resonates with me. I bring the analytical depth, BI expertise, and communication skills to contribute meaningfully to that work from day one.</w:t>
      </w:r>
    </w:p>
    <w:p>
      <w:pPr>
        <w:spacing w:after="80" w:before="0"/>
        <w:jc w:val="left"/>
      </w:pPr>
    </w:p>
    <w:p>
      <w:pPr>
        <w:spacing w:after="160" w:before="0"/>
        <w:jc w:val="left"/>
      </w:pPr>
      <w:r>
        <w:rPr>
          <w:rFonts w:ascii="Calibri" w:hAnsi="Calibri"/>
          <w:b w:val="0"/>
          <w:color w:val="09152A"/>
          <w:sz w:val="22"/>
        </w:rPr>
        <w:t>Thank you for your consideration.</w:t>
      </w:r>
    </w:p>
    <w:p>
      <w:pPr>
        <w:spacing w:after="80" w:before="0"/>
        <w:jc w:val="left"/>
      </w:pPr>
    </w:p>
    <w:p>
      <w:pPr>
        <w:spacing w:after="120" w:before="0"/>
        <w:jc w:val="left"/>
      </w:pPr>
    </w:p>
    <w:p>
      <w:pPr>
        <w:spacing w:after="0" w:before="0"/>
        <w:jc w:val="left"/>
      </w:pPr>
      <w:r>
        <w:rPr>
          <w:rFonts w:ascii="Calibri" w:hAnsi="Calibri"/>
          <w:b w:val="0"/>
          <w:color w:val="09152A"/>
          <w:sz w:val="22"/>
        </w:rPr>
        <w:t>Sincerely,</w:t>
      </w:r>
    </w:p>
    <w:p>
      <w:pPr>
        <w:spacing w:after="160" w:before="0"/>
        <w:jc w:val="left"/>
      </w:pPr>
      <w:r>
        <w:rPr>
          <w:rFonts w:ascii="Calibri" w:hAnsi="Calibri"/>
          <w:b w:val="0"/>
          <w:color w:val="09152A"/>
          <w:sz w:val="22"/>
        </w:rPr>
        <w:t>Alexander Tobin</w:t>
      </w:r>
    </w:p>
    <w:sectPr w:rsidR="00FC693F" w:rsidRPr="0006063C" w:rsidSect="00034616">
      <w:pgSz w:w="12240" w:h="15840"/>
      <w:pgMar w:top="1152" w:right="1584" w:bottom="1152" w:left="158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