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2026-07-02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Pacific Mind Health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&amp; AI Analyst role at Pacific Mind Health. The opportunity to serve as the first dedicated analyst at a growing behavioral health organization — building the reporting infrastructure from the ground up, defining KPIs, and deploying AI-powered automation — is exactly the kind of high-ownership, high-impact role I thrive in. I bring the technical depth and hands-on experience to make this vision a reality quickly.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maps directly to what this role requires. At Catalyzt Nutrition, I served as the organization's first dedicated data leader — defined organization-wide KPIs, built the single source of truth for all reporting, automated manual workflows with Python and API integrations, and delivered executive dashboards that replaced hand-built decks across finance, marketing, and operations. That experience of building a data function from scratch, partnering with leadership across every business unit, and owning the full reporting stack is precisely what Pacific Mind Health is looking for. At Ferguson Enterprises, I developed complex SQL pipelines and data models against large enterprise databases, built self-service Power BI dashboards adopted company-wide, and led multi-source data integration projects on Microsoft Azure — demonstrating the technical rigor required to own your data architecture reliably. Most recently, as a freelance developer, I have shipped production AI-enabled platforms integrating Claude and Azure OpenAI APIs, built LLM-powered data interfaces, and designed automated ingestion pipelines with governance controls and quality monitoring built in — the kind of AI-native approach your role calls for explicitly.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What excites me most about this role is the intersection of advanced analytics, AI automation, and mission-driven healthcare. I understand the stakes of data accuracy in a clinical environment, the importance of HIPAA-compliant data handling, and the value of presenting complex findings in terms that resonate with non-technical clinical and administrative leaders. I am ready to step in, learn your systems rapidly, and begin delivering value across your reporting stack from day one.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experience aligns with Pacific Mind Health's goals.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