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w:t>
      </w:r>
    </w:p>
    <w:p>
      <w:pPr>
        <w:spacing w:after="160"/>
        <w:pBdr>
          <w:bottom w:val="single" w:sz="16" w:space="1" w:color="1B7A8C"/>
        </w:pBdr>
      </w:pPr>
    </w:p>
    <w:p>
      <w:pPr>
        <w:spacing w:after="0" w:before="0"/>
        <w:jc w:val="left"/>
      </w:pPr>
      <w:r>
        <w:rPr>
          <w:rFonts w:ascii="Calibri" w:hAnsi="Calibri"/>
          <w:b w:val="0"/>
          <w:color w:val="09152A"/>
          <w:sz w:val="21"/>
        </w:rPr>
        <w:t>Alexander Tobin</w:t>
      </w:r>
    </w:p>
    <w:p>
      <w:pPr>
        <w:spacing w:after="0" w:before="0"/>
        <w:jc w:val="left"/>
      </w:pPr>
      <w:r>
        <w:rPr>
          <w:rFonts w:ascii="Calibri" w:hAnsi="Calibri"/>
          <w:b w:val="0"/>
          <w:color w:val="09152A"/>
          <w:sz w:val="21"/>
        </w:rPr>
        <w:t>(757) 289-1204 | atobin@alum.utk.edu | Virginia Beach, VA</w:t>
      </w:r>
    </w:p>
    <w:p>
      <w:pPr>
        <w:spacing w:after="120" w:before="0"/>
        <w:jc w:val="left"/>
      </w:pPr>
    </w:p>
    <w:p>
      <w:pPr>
        <w:spacing w:after="80" w:before="0"/>
        <w:jc w:val="left"/>
      </w:pPr>
    </w:p>
    <w:p>
      <w:pPr>
        <w:spacing w:after="160" w:before="0"/>
        <w:jc w:val="left"/>
      </w:pPr>
      <w:r>
        <w:rPr>
          <w:rFonts w:ascii="Calibri" w:hAnsi="Calibri"/>
          <w:b w:val="0"/>
          <w:color w:val="09152A"/>
          <w:sz w:val="22"/>
        </w:rPr>
        <w:t>August 27, 2026</w:t>
      </w:r>
    </w:p>
    <w:p>
      <w:pPr>
        <w:spacing w:after="80" w:before="0"/>
        <w:jc w:val="left"/>
      </w:pPr>
    </w:p>
    <w:p>
      <w:pPr>
        <w:spacing w:after="160" w:before="0"/>
        <w:jc w:val="left"/>
      </w:pPr>
      <w:r>
        <w:rPr>
          <w:rFonts w:ascii="Calibri" w:hAnsi="Calibri"/>
          <w:b w:val="0"/>
          <w:color w:val="09152A"/>
          <w:sz w:val="22"/>
        </w:rPr>
        <w:t>Trading Desk</w:t>
      </w:r>
    </w:p>
    <w:p>
      <w:pPr>
        <w:spacing w:after="160" w:before="0"/>
        <w:jc w:val="left"/>
      </w:pPr>
      <w:r>
        <w:rPr>
          <w:rFonts w:ascii="Calibri" w:hAnsi="Calibri"/>
          <w:b w:val="0"/>
          <w:color w:val="09152A"/>
          <w:sz w:val="22"/>
        </w:rPr>
        <w:t>Youngquist Investments, LLC</w:t>
      </w:r>
    </w:p>
    <w:p>
      <w:pPr>
        <w:spacing w:after="160" w:before="0"/>
        <w:jc w:val="left"/>
      </w:pPr>
      <w:r>
        <w:rPr>
          <w:rFonts w:ascii="Calibri" w:hAnsi="Calibri"/>
          <w:b w:val="0"/>
          <w:color w:val="09152A"/>
          <w:sz w:val="22"/>
        </w:rPr>
        <w:t>Fort Myers, FL</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submitting my application for the Options Consultant engagement. I have been trading options actively for 15 years and am the founder of primelayertrades.com, an options research and trade idea platform where I research, structure, and publish fully specified multi-leg strategies across equities, ETFs, and index products. The work I do there maps directly to what Youngquist Investments is asking for: written ideas with complete plans, not directional stock picks.</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Idea-Generation Process</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My process starts with the volatility environment. Before touching a structure, I assess IV rank and percentile relative to a stock's own history and against the broader market, look at skew shape and term structure slope, and make a regime determination — whether conditions favor short-premium collection, long-vol positioning, or spread structures that neutralize directional exposure. I do not force trades into the wrong environment.</w:t>
      </w:r>
    </w:p>
    <w:p>
      <w:pPr>
        <w:spacing w:after="80" w:before="0"/>
        <w:jc w:val="left"/>
      </w:pPr>
    </w:p>
    <w:p>
      <w:pPr>
        <w:spacing w:after="160" w:before="0"/>
        <w:jc w:val="left"/>
      </w:pPr>
      <w:r>
        <w:rPr>
          <w:rFonts w:ascii="Calibri" w:hAnsi="Calibri"/>
          <w:b w:val="0"/>
          <w:color w:val="09152A"/>
          <w:sz w:val="22"/>
        </w:rPr>
        <w:t>From there, I select the structure based on the thesis and the margin I have for error. For high-IV environments with a range-bound thesis, I favor iron condors or short strangles with defined risk wings. For moderate IV with directional lean, I use credit spreads or diagonals. For low-IV environments where I want long exposure without premium bleed, I use calendars or long diagonals. Every idea I generate specifies the underlying, structure, strikes, expirations, net credit or debit target, maximum loss, break-even levels, and the exact conditions that would trigger adjustment or stop — before I publish it.</w:t>
      </w:r>
    </w:p>
    <w:p>
      <w:pPr>
        <w:spacing w:after="80" w:before="0"/>
        <w:jc w:val="left"/>
      </w:pPr>
    </w:p>
    <w:p>
      <w:pPr>
        <w:spacing w:after="160" w:before="0"/>
        <w:jc w:val="left"/>
      </w:pPr>
      <w:r>
        <w:rPr>
          <w:rFonts w:ascii="Calibri" w:hAnsi="Calibri"/>
          <w:b w:val="0"/>
          <w:color w:val="09152A"/>
          <w:sz w:val="22"/>
        </w:rPr>
        <w:t>At primelayertrades.com, I track P&amp;L attribution on each idea through to resolution and review losers with the same discipline as winners. The question I ask on every loss is whether the process was correct and the trade moved against me, or whether the thesis was wrong from the start. That distinction is the foundation of a repeatable process.</w:t>
      </w:r>
    </w:p>
    <w:p>
      <w:pPr>
        <w:spacing w:after="80" w:before="0"/>
        <w:jc w:val="left"/>
      </w:pPr>
    </w:p>
    <w:p>
      <w:pPr>
        <w:spacing w:after="160" w:before="0"/>
        <w:jc w:val="left"/>
      </w:pPr>
      <w:r>
        <w:rPr>
          <w:rFonts w:ascii="Calibri" w:hAnsi="Calibri"/>
          <w:b w:val="0"/>
          <w:color w:val="09152A"/>
          <w:sz w:val="22"/>
        </w:rPr>
        <w:t>I am comfortable walking your desk through recent ideas — strikes, theses, outcomes, and what I learned. That is the most honest representation of how I work.</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p>
      <w:pPr>
        <w:spacing w:after="160" w:before="0"/>
        <w:jc w:val="left"/>
      </w:pPr>
      <w:r>
        <w:rPr>
          <w:rFonts w:ascii="Calibri" w:hAnsi="Calibri"/>
          <w:b w:val="0"/>
          <w:color w:val="09152A"/>
          <w:sz w:val="22"/>
        </w:rPr>
        <w:t>primelayertrades.com</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