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24,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arrivia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arrivia's framing of this role caught my attention immediately: not "start using AI" but "architect intentional, autonomous agent systems that scale impact." That's exactly the mode I've been operating in — and it's the kind of work I want to do full-time.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Over the past six months as a freelance AI developer, I've built production systems that exemplify agentic architecture. Capitol Mirror runs a fully autonomous daily pipeline: a GitHub Actions workflow scrapes government STOCK Act filings, processes and loads them into PostgreSQL, triggers downstream transformations, and surfaces real-time data through a Next.js front end — all without human intervention. AdvisoryCloud 3.0 uses Supabase Edge Functions as the agent layer: server-side logic handles event-driven workflows, real-time messaging, and multi-step automated email sequences via API. These aren't proof-of-concepts — they're live, production systems handling real user data. Building them required exactly the skills this role demands: Python, JavaScript, SQL, REST APIs, webhooks, and deep familiarity with LLM platforms including Claude and Codex.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Before that, at Ferguson Enterprises I was effectively the internal automation consultant your job description describes. I identified high-impact workflow gaps across departments, scoped the solutions, built them in Power Automate and Airtable Automations with multi-step conditional logic and API integrations, and drove adoption. I've translated ambiguous business problems into structured automation in marketing, analytics, and operations contexts — which is the core of what you're asking for.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I'd love to bring that same systems-thinking and builder mindset to arrivia's marketing and analytics teams. I'm happy to walk through any of my live projects in detail — the architecture decisions, the agent patterns, and how they've scaled.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