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31,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Aristocrat Interactive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strong interest in the Business Intelligence Analyst role at Aristocrat Interactive. With 7+ years of experience building SQL-driven BI platforms, Power BI dashboards, and advanced analytical solutions for digital and operational businesses — paired with deep expertise in requirements elicitation, documentation, and cross-functional stakeholder partnership — I am confident I can contribute meaningfully to your iLottery analytics and insights function.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SQL, Reporting &amp; BI Platform Delivery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built end-to-end BI solutions across every position in my career — writing complex SQL queries against MS SQL Server and BigQuery, developing Power BI reports with DAX modeling and executive-ready dashboard design, and delivering full documentation suites for all analytical deliverables. At Ferguson Enterprises, I built the BI reporting infrastructure for a large-scale, multi-location ecommerce operation — handling digital channel benchmarking, campaign performance analysis, and KPI dashboards for the CFO, VP of Finance, and EVP of Sales, with requirements gathered directly from cross-functional business leaders. In my freelance practice, I have built BI platforms for three client organizations: at callcathai.online, delivering a Power BI dashboard suite for digital call analytics; at primelayertrades.com, building CRM performance analytics and channel benchmarking with rigorous data validation; and at hereraspreadsheets.com, designing expert-level executive KPI reporting infrastructure with advanced Excel, Power BI, and full documentation.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Marketing Analytics, CRM &amp; Actionable Insights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analyzed digital channel performance, CRM campaign results, and operational metrics — and I lead with the insight and recommendation, not just the report. I apply advanced Excel (Power Query, Power Pivot, XLOOKUP, ARRAY formulas, Pivot Tables) for ad hoc analysis and use structured requirements-gathering processes to ensure every deliverable aligns with what stakeholders actually need. I maintain a high standard for data integrity and validate results before presenting findings — the kind of analytical skepticism that matters when business decisions depend on the numbers.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excited by the opportunity to support Aristocrat Interactive's analytics and insights transformation, and I would welcome the chance to discuss how my background fits your iLottery BI team's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