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September 25,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Experis / Client: Media &amp; Entertainment Company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New York, NY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AI Business Solutions Specialist role your client is hiring for through Experis is a precise description of the work I've been doing for the past year — acting as the primary contact for business unit stakeholders, gathering requirements, building and maintaining workflow automations and business systems, and driving adoption of AI tools including Claude. I noticed the job description specifically mentions Claude Cowork as one of the platforms in scope. I use Claude Code and Claude's API daily in my development and automation work, which means I'm not just capable of supporting adoption — I can answer technical questions about the platform that most generalist trainers can't.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In my freelance contractor engagements across callcathai.online, primelayertrades.com, and hereraspreadsheets.com, I serve as the business solutions contact for each organization: conducting requirements-gathering sessions, mapping current-state and future-state workflows, configuring no-code automation platforms (Power Automate, Airtable Automations, Copilot Studio), writing integration specifications, and delivering training and documentation to end users. At Catalyzt Nutrition, I led a full digital transformation program — identifying AI and automation use cases, building solution frameworks, deploying workflows to production, and tracking adoption against expected outcomes. At Ferguson Enterprises, I championed AI and automation adoption across a large-scale ecommerce and supply chain operation, running stakeholder education sessions, building rollout documentation, and gathering feedback to improve capability design over time.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$55/hr contract rate and contract-to-hire trajectory make this role compelling on its own merits. The media/entertainment sector is new territory for me, but the underlying work — requirements, workflow configuration, AI tool adoption, documentation — is exactly what I do. I'd welcome the conversation. 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