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Provinziano &amp; Associates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 &amp; Technology Operations Lead role at Provinziano &amp; Associates. This position is a near-exact match for how I work: hands-on with large language models, building internal tools and automations that close real workflow gaps, and translating AI capabilities into practical outcomes for non-technical stakeholders. The legal context is genuinely interesting to me — I hold a Pre-Law/Legal Studies degree from the University of Tennessee, and the intersection of AI and professional services compliance is an area I take seriously.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current work involves daily, hands-on deployment of the Anthropic Claude API — configuring integrations, engineering prompts, managing context windows, and building lightweight tooling on top of AI services for production use. I have shipped production SaaS applications (AdvisoryCloud) using modern back-end stacks with full CI/CD pipelines, authentication, and real user data, and built expert-level C-suite KPI dashboards and reporting infrastructure for client organizations. At Catalyzt Nutrition, I served effectively as an internal AI and systems lead: I identified workflow gaps, built the tooling to address them, trained the team on new capabilities, and maintained the documentation that made adoption stick. At Ferguson Enterprises, I managed vendor relationships with platform providers, led onboarding and performance oversight for enterprise integrations, and built the process documentation that kept complex workflows running reliably across a remote team.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governance and confidentiality dimensions of this role resonate with me. Working in a professional services environment — especially one with attorney-client privilege and California Rules of Professional Conduct considerations — requires exactly the kind of disciplined, compliance-aware approach to AI deployment I believe in. I am not coming in to automate carelessly; I am coming in to build AI infrastructure that a law firm can actually trust.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speak with you about how my AI experience and legal background align with what Provinziano &amp; Associates is building.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