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2026-07-24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Interim Financial Analyst role. The intersection of FP&amp;A, demand planning, supply chain analytics, and AI-enabled automation this position sits at is exactly where my operational analytics background lives — and the explicit focus on leveraging tools like Claude to automate forecasting and reporting processes is a direct match for work I have already done in production.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Across my career, I have consistently operated at the boundary of finance and operations. At Catalyzt Nutrition, I owned the full KPI and reporting framework for the organization — defining metrics, building the executive reporting layer from scratch, developing bottom-up planning models that supported budgeting and forecasting conversations with leadership, and automating recurring financial workflows to improve planning cycle efficiency. At Born Primitive, I sat directly inside a consumer products supply chain — tracking OTIF, service level, and compliance KPIs, analyzing inventory and demand trends, identifying carrier inefficiencies, and partnering with operations and procurement on corrective actions. At Ferguson Enterprises, I built Power BI financial dashboards adopted across the Finance, Operations, and IT organizations, developed advanced Excel models and ETL workflows translating transactional data into planning-ready outputs, and supported cross-functional budget and reporting processes at enterprise scale. And at ZenEvo Chocolate, I analyzed sales and inventory data in a consumer products ecommerce environment to support demand planning and operational decision-making.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AI side: I have deployed the Claude API and Azure OpenAI in production to automate data processing, eliminate manual reporting hand-offs, and build analytical interfaces that give business users real-time visibility. The ability to identify where AI should lead a workflow versus where a human stays in the loop — and to build something the business can actually maintain — is something I bring from real implementation, not theory.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recognize this role sits closer to traditional FP&amp;A than my background formally does, and I hold that transparently. What I bring is a strong analytical foundation, deep operational finance experience, real consumer products and supply chain exposure, and a specific track record of AI-enabling planning and reporting workflows. I am confident I can be productive quickly and deliver real value to this engagement.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 I would welcome the opportunity to discuss the role.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