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2026-07-24</w:t>
      </w:r>
    </w:p>
    <w:p>
      <w:pPr>
        <w:spacing w:after="120" w:before="0"/>
        <w:jc w:val="left"/>
      </w:pPr>
    </w:p>
    <w:p>
      <w:pPr>
        <w:spacing w:after="80" w:before="0"/>
        <w:jc w:val="left"/>
      </w:pPr>
    </w:p>
    <w:p>
      <w:pPr>
        <w:spacing w:after="160" w:before="0"/>
        <w:jc w:val="left"/>
      </w:pPr>
      <w:r>
        <w:rPr>
          <w:rFonts w:ascii="Calibri" w:hAnsi="Calibri"/>
          <w:b w:val="0"/>
          <w:color w:val="09152A"/>
          <w:sz w:val="22"/>
        </w:rPr>
        <w:t>Hiring Manager</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writing to apply for the Data Analytics Engineer role. Building and expanding data infrastructure in a lean, high-impact environment — writing advanced SQL, designing curated reporting layers, developing BI dashboards, and working directly with finance, operations, and executive stakeholders — is the core of what I have done across my career.</w:t>
      </w:r>
    </w:p>
    <w:p>
      <w:pPr>
        <w:spacing w:after="80" w:before="0"/>
        <w:jc w:val="left"/>
      </w:pPr>
    </w:p>
    <w:p>
      <w:pPr>
        <w:spacing w:after="160" w:before="0"/>
        <w:jc w:val="left"/>
      </w:pPr>
      <w:r>
        <w:rPr>
          <w:rFonts w:ascii="Calibri" w:hAnsi="Calibri"/>
          <w:b w:val="0"/>
          <w:color w:val="09152A"/>
          <w:sz w:val="22"/>
        </w:rPr>
        <w:t>On the SQL and data modeling side: at Ferguson Enterprises, I spent over two years developing complex SQL queries, stored procedures, and views against large MS SQL Server enterprise databases, designing ETL workflows on Microsoft Azure that transformed raw operational data into curated, reporting-ready datasets. I maintained source-to-target mappings, data lineage documentation, and dimensional metric frameworks — the same practices that underpin reliable silver- and gold-layer architecture. On the freelance side, I have built PostgreSQL-backed data platforms with structured ingestion pipelines, fact-style and curated reporting table design, and data quality monitoring at every transformation step — end-to-end, solo, for production use. On the BI side, I have built Power BI executive dashboards and self-service reporting adopted across Finance, Operations, and IT, and I have presented findings and explained data directly to C-level leadership.</w:t>
      </w:r>
    </w:p>
    <w:p>
      <w:pPr>
        <w:spacing w:after="80" w:before="0"/>
        <w:jc w:val="left"/>
      </w:pPr>
    </w:p>
    <w:p>
      <w:pPr>
        <w:spacing w:after="160" w:before="0"/>
        <w:jc w:val="left"/>
      </w:pPr>
      <w:r>
        <w:rPr>
          <w:rFonts w:ascii="Calibri" w:hAnsi="Calibri"/>
          <w:b w:val="0"/>
          <w:color w:val="09152A"/>
          <w:sz w:val="22"/>
        </w:rPr>
        <w:t>At Catalyzt Nutrition, I served as the organization's sole data resource — built the analytics infrastructure from scratch, defined the KPIs, established data governance standards, and owned accuracy and consistency across every output. That is the kind of individual contributor, build-first role this position describes, and it is the environment where I do my best work.</w:t>
      </w:r>
    </w:p>
    <w:p>
      <w:pPr>
        <w:spacing w:after="80" w:before="0"/>
        <w:jc w:val="left"/>
      </w:pPr>
    </w:p>
    <w:p>
      <w:pPr>
        <w:spacing w:after="160" w:before="0"/>
        <w:jc w:val="left"/>
      </w:pPr>
      <w:r>
        <w:rPr>
          <w:rFonts w:ascii="Calibri" w:hAnsi="Calibri"/>
          <w:b w:val="0"/>
          <w:color w:val="09152A"/>
          <w:sz w:val="22"/>
        </w:rPr>
        <w:t>I am transparent that I am based in Virginia Beach, VA rather than the DFW area — I am fully available remote and committed to the engagement. I recognize Snowflake and Sigma are the specific platforms in use; my cloud data platform and BI background translates directly, and I am a fast learner in new tooling.</w:t>
      </w:r>
    </w:p>
    <w:p>
      <w:pPr>
        <w:spacing w:after="80" w:before="0"/>
        <w:jc w:val="left"/>
      </w:pPr>
    </w:p>
    <w:p>
      <w:pPr>
        <w:spacing w:after="160" w:before="0"/>
        <w:jc w:val="left"/>
      </w:pPr>
      <w:r>
        <w:rPr>
          <w:rFonts w:ascii="Calibri" w:hAnsi="Calibri"/>
          <w:b w:val="0"/>
          <w:color w:val="09152A"/>
          <w:sz w:val="22"/>
        </w:rPr>
        <w:t>Thank you for your consideration. I would welcome the opportunity to discuss the role.</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