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2026-07-27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AI Solutions Architect role supporting your wealth management client's onboarding platform initiative. Designing AI solutions that start with business outcomes and governance rather than technology — identifying where AI creates measurable value, building human-in-the-loop workflows, and establishing the audit trail and compliance standards that regulated environments require — is the work I have been doing at the production level.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AI architecture side: I have designed and deployed LLM-powered platforms integrating Azure OpenAI and the Claude API — agentic document processing pipelines, intelligent workflow routing systems, and copilot-style analytics interfaces. Every system I build includes human review checkpoints, escalation logic, and the governance documentation required to keep AI outputs auditable and reliable. I have developed prompt engineering frameworks with structured validation, fallback logic, and drift monitoring — the same practices that matter in financial services environments where accuracy and auditability are non-negotiable. On the Salesforce side, I have developed extensively within the platform — workflow automation, CRM integrations, data architecture, and API-driven integrations connecting Salesforce with third-party enterprise platforms. Designing the kind of multi-system integration this role describes — Salesforce, DocuSign, Dropbox, and external financial platforms — maps directly to work I have done connecting enterprise platforms through API-driven architectures.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consulting and stakeholder side: at Catalyzt Nutrition, I served as the sole AI and automation architect — facilitated leadership workshops to surface requirements, designed phased implementation roadmaps, presented architectural tradeoffs to executive leadership, and measured ROI post-deployment. That consulting-forward approach to AI initiatives is how I operate by default. I want to be transparent that Agentforce and Salesforce Financial Services Cloud specifically are areas where I have adjacent but not direct platform experience, and wealth management is not an industry I have worked in directly. If the production AI architecture, Salesforce development foundation, and governance background translates for this engagement, I would welcome the conversation.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