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Pediatrica Health Group Inc.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interest in the EDI Business Analyst Specialist role at Pediatrica Health Group. My background in enterprise EDI operations at Ferguson Enterprises gives me a strong foundation in the core competencies this role demands — document mapping and validation, loop and segment error analysis, data feed monitoring, UAT, and cross-functional stakeholder communication — and I am actively building toward healthcare EDI specialization.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Ferguson, I led end-to-end onboarding of trading partners to a high-volume B2B EDI platform, designing and validating constructs across 810, 846, 850, 855, and 856 transaction sets. I monitored data feeds for systemic risks, performed root-cause analysis on mapping discrepancies and segment-level failures, and maintained detailed SOPs and process documentation throughout. I applied SQL against MS SQL Server to validate transaction accuracy, and supported system integration testing and UAT for EDI enhancements. The structural logic of EDI — ISA/GS envelopes, loop hierarchies, segment qualifiers, acknowledgment cycles — transfers directly to healthcare transaction sets, and I am actively studying 837, 835, 277CA, and 999/TA1 workflows as I pursue the DP-203 Azure Data Engineering certification.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recognize that this role requires deep familiarity with healthcare-specific transactions and RCM processes that I am still developing. I bring that transparency alongside genuine enthusiasm for the domain: the precision and compliance stakes of healthcare EDI align well with how I approach integration work, and I am a fast, structured learner in new transaction set environments.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EDI fundamentals and analytical approach could contribute to Pediatrica Health Group's integration operations.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