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p>
    <w:p>
      <w:pPr>
        <w:spacing w:after="0" w:before="0"/>
        <w:jc w:val="left"/>
      </w:pPr>
      <w:r>
        <w:rPr>
          <w:rFonts w:ascii="Calibri" w:hAnsi="Calibri"/>
          <w:b w:val="0"/>
          <w:color w:val="718096"/>
          <w:sz w:val="20"/>
        </w:rPr>
        <w:t>Alexander Tobin</w:t>
      </w:r>
    </w:p>
    <w:p>
      <w:pPr>
        <w:spacing w:after="0" w:before="0"/>
        <w:jc w:val="left"/>
      </w:pPr>
      <w:r>
        <w:rPr>
          <w:rFonts w:ascii="Calibri" w:hAnsi="Calibri"/>
          <w:b w:val="0"/>
          <w:color w:val="718096"/>
          <w:sz w:val="20"/>
        </w:rPr>
        <w:t>(757) 289-1204 | atobin@alum.utk.edu | Virginia Beach, VA</w:t>
      </w:r>
    </w:p>
    <w:p>
      <w:pPr>
        <w:spacing w:after="160"/>
        <w:pBdr>
          <w:bottom w:val="single" w:sz="16" w:space="1" w:color="1B7A8C"/>
        </w:pBdr>
      </w:pPr>
    </w:p>
    <w:p>
      <w:pPr>
        <w:spacing w:after="0" w:before="0"/>
        <w:jc w:val="left"/>
      </w:pPr>
      <w:r>
        <w:rPr>
          <w:rFonts w:ascii="Calibri" w:hAnsi="Calibri"/>
          <w:b w:val="0"/>
          <w:color w:val="09152A"/>
          <w:sz w:val="21"/>
        </w:rPr>
        <w:t>2026-07-24</w:t>
      </w:r>
    </w:p>
    <w:p>
      <w:pPr>
        <w:spacing w:after="120" w:before="0"/>
        <w:jc w:val="left"/>
      </w:pPr>
    </w:p>
    <w:p>
      <w:pPr>
        <w:spacing w:after="80" w:before="0"/>
        <w:jc w:val="left"/>
      </w:pPr>
    </w:p>
    <w:p>
      <w:pPr>
        <w:spacing w:after="160" w:before="0"/>
        <w:jc w:val="left"/>
      </w:pPr>
      <w:r>
        <w:rPr>
          <w:rFonts w:ascii="Calibri" w:hAnsi="Calibri"/>
          <w:b w:val="0"/>
          <w:color w:val="09152A"/>
          <w:sz w:val="22"/>
        </w:rPr>
        <w:t>Hiring Manager</w:t>
      </w:r>
    </w:p>
    <w:p>
      <w:pPr>
        <w:spacing w:after="160" w:before="0"/>
        <w:jc w:val="left"/>
      </w:pPr>
      <w:r>
        <w:rPr>
          <w:rFonts w:ascii="Calibri" w:hAnsi="Calibri"/>
          <w:b w:val="0"/>
          <w:color w:val="09152A"/>
          <w:sz w:val="22"/>
        </w:rPr>
        <w:t>Sage TPA</w:t>
      </w:r>
    </w:p>
    <w:p>
      <w:pPr>
        <w:spacing w:after="80" w:before="0"/>
        <w:jc w:val="left"/>
      </w:pPr>
    </w:p>
    <w:p>
      <w:pPr>
        <w:spacing w:after="160" w:before="0"/>
        <w:jc w:val="left"/>
      </w:pPr>
      <w:r>
        <w:rPr>
          <w:rFonts w:ascii="Calibri" w:hAnsi="Calibri"/>
          <w:b w:val="0"/>
          <w:color w:val="09152A"/>
          <w:sz w:val="22"/>
        </w:rPr>
        <w:t>---</w:t>
      </w:r>
    </w:p>
    <w:p>
      <w:pPr>
        <w:spacing w:after="80" w:before="0"/>
        <w:jc w:val="left"/>
      </w:pPr>
    </w:p>
    <w:p>
      <w:pPr>
        <w:spacing w:after="200" w:before="0"/>
        <w:jc w:val="left"/>
      </w:pPr>
      <w:r>
        <w:rPr>
          <w:rFonts w:ascii="Calibri" w:hAnsi="Calibri"/>
          <w:b/>
          <w:color w:val="09152A"/>
          <w:sz w:val="22"/>
        </w:rPr>
        <w:t>Dear Hiring Manager,</w:t>
      </w:r>
    </w:p>
    <w:p>
      <w:pPr>
        <w:spacing w:after="80" w:before="0"/>
        <w:jc w:val="left"/>
      </w:pPr>
    </w:p>
    <w:p>
      <w:pPr>
        <w:spacing w:after="160" w:before="0"/>
        <w:jc w:val="left"/>
      </w:pPr>
      <w:r>
        <w:rPr>
          <w:rFonts w:ascii="Calibri" w:hAnsi="Calibri"/>
          <w:b w:val="0"/>
          <w:color w:val="09152A"/>
          <w:sz w:val="22"/>
        </w:rPr>
        <w:t>I am writing to apply for the Data and Reporting Lead role at Sage TPA. Owning how an organization measures and reports on its data — setting standards, building the report library, maintaining a trusted single source of truth, and presenting findings credibly to both technical and non-technical audiences — is the core of what I have built my career around. The healthcare data format experience this role requires is a specific part of my background that does not appear on many analyst resumes.</w:t>
      </w:r>
    </w:p>
    <w:p>
      <w:pPr>
        <w:spacing w:after="80" w:before="0"/>
        <w:jc w:val="left"/>
      </w:pPr>
    </w:p>
    <w:p>
      <w:pPr>
        <w:spacing w:after="160" w:before="0"/>
        <w:jc w:val="left"/>
      </w:pPr>
      <w:r>
        <w:rPr>
          <w:rFonts w:ascii="Calibri" w:hAnsi="Calibri"/>
          <w:b w:val="0"/>
          <w:color w:val="09152A"/>
          <w:sz w:val="22"/>
        </w:rPr>
        <w:t>On the healthcare data side: at Ferguson Enterprises, I built and maintained EDI integrations across 810, 835, 837, 850, 855, and 856 document types — leading vendor onboarding, mapping data formats, configuring FTP/SFTP/AS2 connections, and validating end-to-end data flow through to operational reporting. I understand claims and eligibility data structures and the precision those formats demand. That experience translates directly to the 835/837 CSV feed template work this role requires.</w:t>
      </w:r>
    </w:p>
    <w:p>
      <w:pPr>
        <w:spacing w:after="80" w:before="0"/>
        <w:jc w:val="left"/>
      </w:pPr>
    </w:p>
    <w:p>
      <w:pPr>
        <w:spacing w:after="160" w:before="0"/>
        <w:jc w:val="left"/>
      </w:pPr>
      <w:r>
        <w:rPr>
          <w:rFonts w:ascii="Calibri" w:hAnsi="Calibri"/>
          <w:b w:val="0"/>
          <w:color w:val="09152A"/>
          <w:sz w:val="22"/>
        </w:rPr>
        <w:t>On the broader data and reporting side: at Catalyzt Nutrition, I owned the full analytics and reporting infrastructure — defined KPIs, built the organization's single source of truth for executive reporting, maintained the data dictionary and metric documentation, and trained staff on reporting tools. At Ferguson Enterprises, I developed complex SQL queries and stored procedures against large MS SQL Server databases, designed ETL workflows on Microsoft Azure with full data lineage documentation, and built Power BI dashboards adopted across Finance, Operations, and IT. I have presented findings directly to executive leadership and worked alongside senior leaders in client-facing settings to explain the data behind the numbers.</w:t>
      </w:r>
    </w:p>
    <w:p>
      <w:pPr>
        <w:spacing w:after="80" w:before="0"/>
        <w:jc w:val="left"/>
      </w:pPr>
    </w:p>
    <w:p>
      <w:pPr>
        <w:spacing w:after="160" w:before="0"/>
        <w:jc w:val="left"/>
      </w:pPr>
      <w:r>
        <w:rPr>
          <w:rFonts w:ascii="Calibri" w:hAnsi="Calibri"/>
          <w:b w:val="0"/>
          <w:color w:val="09152A"/>
          <w:sz w:val="22"/>
        </w:rPr>
        <w:t>I am transparent that I am based in Virginia Beach, VA rather than Texas — I recognize the geographic preference. I am fully available on Central time and committed to the fully remote structure this role requires.</w:t>
      </w:r>
    </w:p>
    <w:p>
      <w:pPr>
        <w:spacing w:after="80" w:before="0"/>
        <w:jc w:val="left"/>
      </w:pPr>
    </w:p>
    <w:p>
      <w:pPr>
        <w:spacing w:after="160" w:before="0"/>
        <w:jc w:val="left"/>
      </w:pPr>
      <w:r>
        <w:rPr>
          <w:rFonts w:ascii="Calibri" w:hAnsi="Calibri"/>
          <w:b w:val="0"/>
          <w:color w:val="09152A"/>
          <w:sz w:val="22"/>
        </w:rPr>
        <w:t>Thank you for your consideration. I would welcome the opportunity to discuss the role.</w:t>
      </w:r>
    </w:p>
    <w:p>
      <w:pPr>
        <w:spacing w:after="80" w:before="0"/>
        <w:jc w:val="left"/>
      </w:pPr>
    </w:p>
    <w:p>
      <w:pPr>
        <w:spacing w:after="120" w:before="0"/>
        <w:jc w:val="left"/>
      </w:pPr>
    </w:p>
    <w:p>
      <w:pPr>
        <w:spacing w:after="0" w:before="0"/>
        <w:jc w:val="left"/>
      </w:pPr>
      <w:r>
        <w:rPr>
          <w:rFonts w:ascii="Calibri" w:hAnsi="Calibri"/>
          <w:b w:val="0"/>
          <w:color w:val="09152A"/>
          <w:sz w:val="22"/>
        </w:rPr>
        <w:t>Sincerely,</w:t>
      </w:r>
    </w:p>
    <w:p>
      <w:pPr>
        <w:spacing w:after="160" w:before="0"/>
        <w:jc w:val="left"/>
      </w:pPr>
      <w:r>
        <w:rPr>
          <w:rFonts w:ascii="Calibri" w:hAnsi="Calibri"/>
          <w:b w:val="0"/>
          <w:color w:val="09152A"/>
          <w:sz w:val="22"/>
        </w:rPr>
        <w:t>Alexander Tobin</w:t>
      </w:r>
    </w:p>
    <w:sectPr w:rsidR="00FC693F" w:rsidRPr="0006063C" w:rsidSect="00034616">
      <w:pgSz w:w="12240" w:h="15840"/>
      <w:pgMar w:top="1152" w:right="1584" w:bottom="1152"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