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2026-07-11</w:t>
      </w:r>
    </w:p>
    <w:p>
      <w:pPr>
        <w:spacing w:after="120" w:before="0"/>
        <w:jc w:val="left"/>
      </w:pPr>
    </w:p>
    <w:p>
      <w:pPr>
        <w:spacing w:after="80" w:before="0"/>
        <w:jc w:val="left"/>
      </w:pPr>
    </w:p>
    <w:p>
      <w:pPr>
        <w:spacing w:after="160" w:before="0"/>
        <w:jc w:val="left"/>
      </w:pPr>
      <w:r>
        <w:rPr>
          <w:rFonts w:ascii="Calibri" w:hAnsi="Calibri"/>
          <w:b w:val="0"/>
          <w:color w:val="09152A"/>
          <w:sz w:val="22"/>
        </w:rPr>
        <w:t>Hiring Manager</w:t>
      </w:r>
    </w:p>
    <w:p>
      <w:pPr>
        <w:spacing w:after="160" w:before="0"/>
        <w:jc w:val="left"/>
      </w:pPr>
      <w:r>
        <w:rPr>
          <w:rFonts w:ascii="Calibri" w:hAnsi="Calibri"/>
          <w:b w:val="0"/>
          <w:color w:val="09152A"/>
          <w:sz w:val="22"/>
        </w:rPr>
        <w:t>Scaled Health</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writing to apply for the Senior Data Analyst role at Scaled Health. The technical foundation this role demands — advanced SQL development, ETL pipeline ownership, Power BI reporting, data governance, and the ability to translate complex requirements into accurate, actionable insights for clinical and operational stakeholders — is the core of what I have built my career around.</w:t>
      </w:r>
    </w:p>
    <w:p>
      <w:pPr>
        <w:spacing w:after="80" w:before="0"/>
        <w:jc w:val="left"/>
      </w:pPr>
    </w:p>
    <w:p>
      <w:pPr>
        <w:spacing w:after="160" w:before="0"/>
        <w:jc w:val="left"/>
      </w:pPr>
      <w:r>
        <w:rPr>
          <w:rFonts w:ascii="Calibri" w:hAnsi="Calibri"/>
          <w:b w:val="0"/>
          <w:color w:val="09152A"/>
          <w:sz w:val="22"/>
        </w:rPr>
        <w:t>My experience spans SQL query development and stored procedure writing against large enterprise databases, ETL design and implementation on Microsoft Azure, Power BI dashboard development adopted across Finance, Operations, and IT, and end-to-end data governance including data definitions, source-to-target mappings, and version-controlled documentation. At Catalyzt Nutrition, I served as the organization's dedicated data leader — translating business requirements from clinical, operational, and executive stakeholders into reliable reporting outputs, owning data accuracy and consistency standards, and presenting findings directly to senior leadership. At Ferguson Enterprises, I built the SQL-based transformation logic, ETL workflows, and self-service reporting infrastructure for a large enterprise environment over more than two years — exactly the kind of structured, governance-first approach healthcare data demands.</w:t>
      </w:r>
    </w:p>
    <w:p>
      <w:pPr>
        <w:spacing w:after="80" w:before="0"/>
        <w:jc w:val="left"/>
      </w:pPr>
    </w:p>
    <w:p>
      <w:pPr>
        <w:spacing w:after="160" w:before="0"/>
        <w:jc w:val="left"/>
      </w:pPr>
      <w:r>
        <w:rPr>
          <w:rFonts w:ascii="Calibri" w:hAnsi="Calibri"/>
          <w:b w:val="0"/>
          <w:color w:val="09152A"/>
          <w:sz w:val="22"/>
        </w:rPr>
        <w:t>I am transparent that I do not currently hold Epic Clarity certification, and I recognize that is a stated requirement for this role. I am a fast learner with a strong data platform background, and I am fully committed to pursuing Epic certification as part of joining a healthcare-focused team. I bring the SQL depth, ETL experience, Power BI fluency, and stakeholder communication skills that underpin success in this role — and I am confident I can close the Epic-specific knowledge gap quickly in the right environment.</w:t>
      </w:r>
    </w:p>
    <w:p>
      <w:pPr>
        <w:spacing w:after="80" w:before="0"/>
        <w:jc w:val="left"/>
      </w:pPr>
    </w:p>
    <w:p>
      <w:pPr>
        <w:spacing w:after="160" w:before="0"/>
        <w:jc w:val="left"/>
      </w:pPr>
      <w:r>
        <w:rPr>
          <w:rFonts w:ascii="Calibri" w:hAnsi="Calibri"/>
          <w:b w:val="0"/>
          <w:color w:val="09152A"/>
          <w:sz w:val="22"/>
        </w:rPr>
        <w:t>Thank you for your consideration. I would welcome the opportunity to discuss how my background fits Scaled Health's needs.</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