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30,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KickCharge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SEO Lead role at KickCharge. My background is in data analytics and digital marketing, and while my SEO experience has been primarily in-house and owner-operated rather than at agency scale, I bring the analytical depth, process orientation, and performance-focused mindset that makes SEO strategy actually work.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As a business owner, I built and managed the full digital marketing stack for Maker City Pallet Works — SEO, Google Ads, Meta campaigns, email automation, and social media — with full accountability to organic traffic growth, cost-per-lead, and conversion rates. That hands-on experience taught me how organic search, paid media, and content strategy interact at the execution level. More recently, I have built production web applications with SEO-conscious architecture: structured metadata, performance optimization, and conversion tracking built in from the start. My Google Analytics and Google Ads certifications reflect a formal grounding in the measurement side of search marketing.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What I would bring to KickCharge is strong analytical and process-building capability — the ability to look at performance data across accounts, identify what's working and what isn't, and build scalable frameworks that teams can execute consistently. I am organized, proactive, and experienced coordinating cross-functional work across fast-moving environments. I want to be transparent that my agency SEO experience is limited, and I would come in eager to learn from your team's depth in that area while contributing the analytical and operational skills I have already developed.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how my background fits the direction you're building toward.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