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p>
    <w:p>
      <w:pPr>
        <w:spacing w:after="0" w:before="0"/>
        <w:jc w:val="left"/>
      </w:pPr>
      <w:r>
        <w:rPr>
          <w:rFonts w:ascii="Calibri" w:hAnsi="Calibri"/>
          <w:b w:val="0"/>
          <w:color w:val="718096"/>
          <w:sz w:val="20"/>
        </w:rPr>
        <w:t>Alexander Tobin</w:t>
      </w:r>
    </w:p>
    <w:p>
      <w:pPr>
        <w:spacing w:after="0" w:before="0"/>
        <w:jc w:val="left"/>
      </w:pPr>
      <w:r>
        <w:rPr>
          <w:rFonts w:ascii="Calibri" w:hAnsi="Calibri"/>
          <w:b w:val="0"/>
          <w:color w:val="718096"/>
          <w:sz w:val="20"/>
        </w:rPr>
        <w:t>(757) 289-1204 | atobin@alum.utk.edu | Virginia Beach, VA</w:t>
      </w:r>
    </w:p>
    <w:p>
      <w:pPr>
        <w:spacing w:after="160"/>
        <w:pBdr>
          <w:bottom w:val="single" w:sz="16" w:space="1" w:color="1B7A8C"/>
        </w:pBdr>
      </w:pPr>
    </w:p>
    <w:p>
      <w:pPr>
        <w:spacing w:after="0" w:before="0"/>
        <w:jc w:val="left"/>
      </w:pPr>
      <w:r>
        <w:rPr>
          <w:rFonts w:ascii="Calibri" w:hAnsi="Calibri"/>
          <w:b w:val="0"/>
          <w:color w:val="09152A"/>
          <w:sz w:val="21"/>
        </w:rPr>
        <w:t>2026-07-24</w:t>
      </w:r>
    </w:p>
    <w:p>
      <w:pPr>
        <w:spacing w:after="120" w:before="0"/>
        <w:jc w:val="left"/>
      </w:pPr>
    </w:p>
    <w:p>
      <w:pPr>
        <w:spacing w:after="80" w:before="0"/>
        <w:jc w:val="left"/>
      </w:pPr>
    </w:p>
    <w:p>
      <w:pPr>
        <w:spacing w:after="160" w:before="0"/>
        <w:jc w:val="left"/>
      </w:pPr>
      <w:r>
        <w:rPr>
          <w:rFonts w:ascii="Calibri" w:hAnsi="Calibri"/>
          <w:b w:val="0"/>
          <w:color w:val="09152A"/>
          <w:sz w:val="22"/>
        </w:rPr>
        <w:t>Hiring Manager</w:t>
      </w:r>
    </w:p>
    <w:p>
      <w:pPr>
        <w:spacing w:after="160" w:before="0"/>
        <w:jc w:val="left"/>
      </w:pPr>
      <w:r>
        <w:rPr>
          <w:rFonts w:ascii="Calibri" w:hAnsi="Calibri"/>
          <w:b w:val="0"/>
          <w:color w:val="09152A"/>
          <w:sz w:val="22"/>
        </w:rPr>
        <w:t>JDL Access, LLC</w:t>
      </w:r>
    </w:p>
    <w:p>
      <w:pPr>
        <w:spacing w:after="80" w:before="0"/>
        <w:jc w:val="left"/>
      </w:pPr>
    </w:p>
    <w:p>
      <w:pPr>
        <w:spacing w:after="160" w:before="0"/>
        <w:jc w:val="left"/>
      </w:pPr>
      <w:r>
        <w:rPr>
          <w:rFonts w:ascii="Calibri" w:hAnsi="Calibri"/>
          <w:b w:val="0"/>
          <w:color w:val="09152A"/>
          <w:sz w:val="22"/>
        </w:rPr>
        <w:t>---</w:t>
      </w:r>
    </w:p>
    <w:p>
      <w:pPr>
        <w:spacing w:after="80" w:before="0"/>
        <w:jc w:val="left"/>
      </w:pPr>
    </w:p>
    <w:p>
      <w:pPr>
        <w:spacing w:after="200" w:before="0"/>
        <w:jc w:val="left"/>
      </w:pPr>
      <w:r>
        <w:rPr>
          <w:rFonts w:ascii="Calibri" w:hAnsi="Calibri"/>
          <w:b/>
          <w:color w:val="09152A"/>
          <w:sz w:val="22"/>
        </w:rPr>
        <w:t>Dear Hiring Manager,</w:t>
      </w:r>
    </w:p>
    <w:p>
      <w:pPr>
        <w:spacing w:after="80" w:before="0"/>
        <w:jc w:val="left"/>
      </w:pPr>
    </w:p>
    <w:p>
      <w:pPr>
        <w:spacing w:after="160" w:before="0"/>
        <w:jc w:val="left"/>
      </w:pPr>
      <w:r>
        <w:rPr>
          <w:rFonts w:ascii="Calibri" w:hAnsi="Calibri"/>
          <w:b w:val="0"/>
          <w:color w:val="09152A"/>
          <w:sz w:val="22"/>
        </w:rPr>
        <w:t>I am writing to apply for the SQL &amp; Power BI Contractor role at JDL Access. Building enterprise reporting infrastructure from the ground up — translating complex business logic into optimized SQL, connecting data sources through reliable ETL pipelines, and surfacing insights through well-structured Power BI dashboards — is the core of what I do.</w:t>
      </w:r>
    </w:p>
    <w:p>
      <w:pPr>
        <w:spacing w:after="80" w:before="0"/>
        <w:jc w:val="left"/>
      </w:pPr>
    </w:p>
    <w:p>
      <w:pPr>
        <w:spacing w:after="160" w:before="0"/>
        <w:jc w:val="left"/>
      </w:pPr>
      <w:r>
        <w:rPr>
          <w:rFonts w:ascii="Calibri" w:hAnsi="Calibri"/>
          <w:b w:val="0"/>
          <w:color w:val="09152A"/>
          <w:sz w:val="22"/>
        </w:rPr>
        <w:t>My background maps directly to what this engagement requires. At Ferguson Enterprises, I spent over two years developing complex SQL queries, stored procedures, and views against large MS SQL Server databases, then translating that data into Power BI executive dashboards adopted across Finance, Operations, and IT. I built DAX measures and metric frameworks, maintained source-to-target mappings and data lineage documentation, and delivered reporting infrastructure that the business relied on for ongoing decision-making. On the data modeling side, I have extensive experience with star schemas, dimensional design, and the kind of careful documentation that keeps reporting maintainable long after a contractor engagement ends. On the freelance side, I have built production PostgreSQL-backed analytics platforms with structured ETL pipelines, JSON-format ingestion, and governance documentation throughout — which directly translates to the MongoDB-to-Power BI transformation work this role requires.</w:t>
      </w:r>
    </w:p>
    <w:p>
      <w:pPr>
        <w:spacing w:after="80" w:before="0"/>
        <w:jc w:val="left"/>
      </w:pPr>
    </w:p>
    <w:p>
      <w:pPr>
        <w:spacing w:after="160" w:before="0"/>
        <w:jc w:val="left"/>
      </w:pPr>
      <w:r>
        <w:rPr>
          <w:rFonts w:ascii="Calibri" w:hAnsi="Calibri"/>
          <w:b w:val="0"/>
          <w:color w:val="09152A"/>
          <w:sz w:val="22"/>
        </w:rPr>
        <w:t>I bring a contractor's discipline to this kind of engagement: I document as I build, I write clean and readable query logic, and I structure reporting definitions so your developer and operations teams can own the output after the engagement closes. I am a fast learner in new data environments and confident I can get productive quickly within your MongoDB-backed platform.</w:t>
      </w:r>
    </w:p>
    <w:p>
      <w:pPr>
        <w:spacing w:after="80" w:before="0"/>
        <w:jc w:val="left"/>
      </w:pPr>
    </w:p>
    <w:p>
      <w:pPr>
        <w:spacing w:after="160" w:before="0"/>
        <w:jc w:val="left"/>
      </w:pPr>
      <w:r>
        <w:rPr>
          <w:rFonts w:ascii="Calibri" w:hAnsi="Calibri"/>
          <w:b w:val="0"/>
          <w:color w:val="09152A"/>
          <w:sz w:val="22"/>
        </w:rPr>
        <w:t>I would welcome the opportunity to discuss the engagement. Thank you for your consideration.</w:t>
      </w:r>
    </w:p>
    <w:p>
      <w:pPr>
        <w:spacing w:after="80" w:before="0"/>
        <w:jc w:val="left"/>
      </w:pPr>
    </w:p>
    <w:p>
      <w:pPr>
        <w:spacing w:after="120" w:before="0"/>
        <w:jc w:val="left"/>
      </w:pPr>
    </w:p>
    <w:p>
      <w:pPr>
        <w:spacing w:after="0" w:before="0"/>
        <w:jc w:val="left"/>
      </w:pPr>
      <w:r>
        <w:rPr>
          <w:rFonts w:ascii="Calibri" w:hAnsi="Calibri"/>
          <w:b w:val="0"/>
          <w:color w:val="09152A"/>
          <w:sz w:val="22"/>
        </w:rPr>
        <w:t>Sincerely,</w:t>
      </w:r>
    </w:p>
    <w:p>
      <w:pPr>
        <w:spacing w:after="160" w:before="0"/>
        <w:jc w:val="left"/>
      </w:pPr>
      <w:r>
        <w:rPr>
          <w:rFonts w:ascii="Calibri" w:hAnsi="Calibri"/>
          <w:b w:val="0"/>
          <w:color w:val="09152A"/>
          <w:sz w:val="22"/>
        </w:rPr>
        <w:t>Alexander Tobin</w:t>
      </w:r>
    </w:p>
    <w:sectPr w:rsidR="00FC693F" w:rsidRPr="0006063C" w:rsidSect="00034616">
      <w:pgSz w:w="12240" w:h="15840"/>
      <w:pgMar w:top="1152" w:right="1584"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