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Requirement 1: Build and Maintain a Secure Network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Firewall Configuration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OfficeSupply shall implement a formal process for approving and testing all network connections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and changes to the firewall and router configurations. (PCI Requirement 1.1.1)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 network diagram identifying all connections between the cardholder data environment and other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networks, including any wireless networks, must be maintained. (PCI Requirement 1.1.2)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 cardholder data-flow diagram identifying the location of all cardholder data that is stored,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processed, or transmitted within the network must be maintained. (PCI Requirement 1.1.3)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OfficeSupply’s network will be configured with a requirement for a firewall at each Internet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connection and between the internet-facing demilitarized zone (DMZ) containing the in-scope web</w:t>
      </w:r>
    </w:p>
    <w:p>
      <w:pPr>
        <w:pStyle w:val="Heading1"/>
        <w:numPr>
          <w:ilvl w:val="0"/>
          <w:numId w:val="1"/>
        </w:numPr>
        <w:spacing w:lineRule="auto" w:line="276" w:before="29" w:after="115"/>
        <w:rPr>
          <w:sz w:val="24"/>
          <w:szCs w:val="24"/>
        </w:rPr>
      </w:pPr>
      <w:r>
        <w:rPr>
          <w:sz w:val="24"/>
          <w:szCs w:val="24"/>
        </w:rPr>
        <w:t>server and the internal network zone that contains systems not directly involved in the payment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process. (PCI Requirement 1.1.4)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The network administrator shall maintain documentation which details use of all services,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protocols, and ports allowed into the internal network zone. This list will include business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justification for any traffic allowed in or out of the network. It will also include documentation of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security features implemented for those protocols considered to be insecure. Examples of insecure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services, protocols, or ports include but are not limited to FTP, Telnet, POP3, IMAP, and SNMP v1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and v2. (PCI Requirement 1.1.6)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Review firewall and router rule sets at least every six months. (PCI Requirement 1.1.7)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Firewalls must restrict connections between untrusted networks and any system in the cardholder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data environment. An “untrusted network” is any network that is external to the networks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belonging to the entity under review, and/or which is out of the entity’s ability to control or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manage. Access to the internet must be through a firewall, as must any direct connection to a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vendor, processor, or service provider. (PCI Requirement 1.2)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Inbound and outbound traffic must be restricted by the firewalls to that which is necessary for the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cardholder data environment. All other inbound and outbound traffic must be specifically denied.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(PCI Requirement 1.2.1)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Examine router configuration files to verify they are synchronized and secured from unauthorized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access. (PCI Requirement 1.2.2)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Verify that there are perimeter firewalls installed between all wireless networks and the cardholder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data environment, and that the firewalls deny or, if traffic is necessary for business purposes,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permit only authorized traffic between the wireless environment and the cardholder data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environment. (PCI Requirement 1.2.3)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Firewall configuration must prohibit direct public access between the Internet and any system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component in the cardholder data environment as follows: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Implement a DMZ to limit inbound traffic to only system components that provide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authorized publicly accessible services, protocols, and ports. (PCI Requirement 1.3.1)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Limit inbound Internet traffic to IP addresses within the DMZ. (PCI Requirement 1.3.2)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OfficeSupply will install controls that implement anti-spoofing measures to detect and block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forged source IP addresses from entering the network. (For example, block traffic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originating from the Internet with an internal source address.) (PCI Requirement 1.3.3)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Outbound traffic from the cardholder data environment to the Internet must be explicitly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authorized by management and controlled by the firewall. (PCI Requirement 1.3.4)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Ensure the firewall allows only established connections into the network and denies any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inbound connections not associated with a previously established session. (PCI Requirement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1.3.5)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Use network techniques (such as NAT or RFC 1918 addressing) so as not to disclose private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IP addresses and routing information to unauthorized parties. (PCI Requirement 1.3.7)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 xml:space="preserve"> </w:t>
      </w:r>
      <w:r>
        <w:rPr>
          <w:sz w:val="24"/>
          <w:szCs w:val="24"/>
        </w:rPr>
        <w:t>Use personal firewall software or hardware to protect any devices (including company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and/or employee-owned) that connect to the Internet when outside the network (for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example, laptops used by employees). (PCI Requirement 1.4)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Ensure that security policies and operational procedures for managing firewalls are documented, in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use, and known to all appropriate personnel. (PCI Requirement 1.5)</w:t>
      </w:r>
    </w:p>
    <w:p>
      <w:pPr>
        <w:pStyle w:val="Heading1"/>
        <w:numPr>
          <w:ilvl w:val="0"/>
          <w:numId w:val="1"/>
        </w:numPr>
        <w:spacing w:before="29" w:after="115"/>
        <w:rPr>
          <w:sz w:val="24"/>
          <w:szCs w:val="24"/>
        </w:rPr>
      </w:pPr>
      <w:r>
        <w:rPr>
          <w:sz w:val="24"/>
          <w:szCs w:val="24"/>
        </w:rPr>
        <w:t>FTP RPC</w:t>
      </w:r>
    </w:p>
    <w:p>
      <w:pPr>
        <w:pStyle w:val="TextBody"/>
        <w:rPr/>
      </w:pPr>
      <w:r>
        <w:rPr/>
        <w:t>FTP via remote procedure call</w:t>
      </w:r>
    </w:p>
    <w:p>
      <w:pPr>
        <w:pStyle w:val="TextBody"/>
        <w:rPr/>
      </w:pPr>
      <w:r>
        <w:rPr/>
        <w:t>Due to technical details of how the FTP and FTPS protocol are defined, systems that transfer files via FTP require a firewall with mostly open egress rules.</w:t>
      </w:r>
    </w:p>
    <w:p>
      <w:pPr>
        <w:pStyle w:val="TextBody"/>
        <w:rPr/>
      </w:pPr>
      <w:r>
        <w:rPr/>
        <w:t>FTP RPC segregates the open egress requirement from the rest of the system(s).</w:t>
      </w:r>
    </w:p>
    <w:p>
      <w:pPr>
        <w:pStyle w:val="TextBody"/>
        <w:rPr/>
      </w:pPr>
      <w:r>
        <w:rPr/>
        <w:t>The system is asynchronous and does not return a response to the initiator.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1"/>
        </w:numPr>
        <w:rPr/>
      </w:pPr>
      <w:r>
        <w:rPr/>
        <w:t>Outbound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096000" cy="694372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tbl>
      <w:tblPr>
        <w:tblW w:w="2348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011"/>
        <w:gridCol w:w="1336"/>
      </w:tblGrid>
      <w:tr>
        <w:trPr>
          <w:tblHeader w:val="true"/>
        </w:trPr>
        <w:tc>
          <w:tcPr>
            <w:tcW w:w="10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Uploader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Outbound initiator</w:t>
            </w:r>
          </w:p>
        </w:tc>
      </w:tr>
      <w:tr>
        <w:trPr/>
        <w:tc>
          <w:tcPr>
            <w:tcW w:w="10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Storage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Shared storage</w:t>
            </w:r>
          </w:p>
        </w:tc>
      </w:tr>
      <w:tr>
        <w:trPr/>
        <w:tc>
          <w:tcPr>
            <w:tcW w:w="10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queue</w:t>
            </w:r>
          </w:p>
        </w:tc>
      </w:tr>
    </w:tbl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1"/>
        </w:numPr>
        <w:rPr/>
      </w:pPr>
      <w:r>
        <w:rPr/>
        <w:t>From Open Egress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155690" cy="61436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41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104"/>
        <w:gridCol w:w="1336"/>
      </w:tblGrid>
      <w:tr>
        <w:trPr>
          <w:tblHeader w:val="true"/>
        </w:trPr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Storage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Shared storage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queue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consumer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 / Vendor FTP</w:t>
            </w:r>
          </w:p>
        </w:tc>
      </w:tr>
    </w:tbl>
    <w:p>
      <w:pPr>
        <w:pStyle w:val="TextBody"/>
        <w:rPr/>
      </w:pPr>
      <w:r>
        <w:rPr/>
        <w:t>As of writing: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“</w:t>
      </w:r>
      <w:r>
        <w:rPr/>
        <w:t xml:space="preserve">Shared storage” is AWS S3, which supports creating queue messages.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“</w:t>
      </w:r>
      <w:r>
        <w:rPr/>
        <w:t xml:space="preserve">Message queue” is AWS SQS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 xml:space="preserve">Consumer” will be AWS Lambda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1"/>
        </w:numPr>
        <w:rPr/>
      </w:pPr>
      <w:r>
        <w:rPr/>
        <w:t>Inbound</w:t>
      </w:r>
    </w:p>
    <w:p>
      <w:pPr>
        <w:pStyle w:val="TextBody"/>
        <w:rPr/>
      </w:pPr>
      <w:r>
        <w:rPr/>
        <w:t>Starts with a request message sent describing the inbound request.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1"/>
        </w:numPr>
        <w:rPr/>
      </w:pPr>
      <w:r>
        <w:rPr/>
        <w:t>From Open Egress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357370" cy="775589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41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104"/>
        <w:gridCol w:w="1336"/>
      </w:tblGrid>
      <w:tr>
        <w:trPr>
          <w:tblHeader w:val="true"/>
        </w:trPr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Storage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Shared storage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queue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consumer</w:t>
            </w:r>
          </w:p>
        </w:tc>
      </w:tr>
      <w:tr>
        <w:trPr/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</w:t>
            </w:r>
          </w:p>
        </w:tc>
        <w:tc>
          <w:tcPr>
            <w:tcW w:w="13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 / Vendor FTP</w:t>
            </w:r>
          </w:p>
        </w:tc>
      </w:tr>
    </w:tbl>
    <w:p>
      <w:pPr>
        <w:pStyle w:val="TextBody"/>
        <w:rPr/>
      </w:pPr>
      <w:r>
        <w:rPr/>
        <w:t>As of writing:</w:t>
      </w:r>
    </w:p>
    <w:p>
      <w:pPr>
        <w:pStyle w:val="ListHeading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 xml:space="preserve">Shared storage” is AWS S3 </w:t>
      </w:r>
    </w:p>
    <w:p>
      <w:pPr>
        <w:pStyle w:val="ListContents"/>
        <w:numPr>
          <w:ilvl w:val="1"/>
          <w:numId w:val="3"/>
        </w:numPr>
        <w:tabs>
          <w:tab w:val="left" w:pos="0" w:leader="none"/>
        </w:tabs>
        <w:ind w:left="1981" w:hanging="283"/>
        <w:rPr/>
      </w:pPr>
      <w:r>
        <w:rPr/>
        <w:t xml:space="preserve">AWS S3 supports creating queue messages on object creation events, delaying the need for consumer creating ack-notifications. </w:t>
      </w:r>
    </w:p>
    <w:p>
      <w:pPr>
        <w:pStyle w:val="ListContents"/>
        <w:numPr>
          <w:ilvl w:val="1"/>
          <w:numId w:val="3"/>
        </w:numPr>
        <w:tabs>
          <w:tab w:val="left" w:pos="0" w:leader="none"/>
        </w:tabs>
        <w:ind w:left="1981" w:hanging="283"/>
        <w:rPr/>
      </w:pPr>
      <w:r>
        <w:rPr/>
        <w:t xml:space="preserve">The use cases encapsulate the file-listing usages, meaning there is no need to send a “this is the file list” response.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>Message queue” is AWS SQS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>Consumer” will be AWS Lambda</w:t>
      </w:r>
    </w:p>
    <w:p>
      <w:pPr>
        <w:pStyle w:val="TextBody"/>
        <w:rPr/>
      </w:pPr>
      <w:r>
        <w:rPr/>
        <w:t>For inbound requests, there is an expectation that there will be a later file-consumer that handles continuing the activates that happen after file has been acquired, either by queue-watching or storage-polling.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© Copyright OfficeSupply.com </w:t>
      </w:r>
    </w:p>
    <w:p>
      <w:pPr>
        <w:pStyle w:val="TextBody"/>
        <w:spacing w:before="0" w:after="0"/>
        <w:rPr/>
      </w:pPr>
      <w:r>
        <w:rPr/>
        <w:t xml:space="preserve">Built with </w:t>
      </w:r>
      <w:hyperlink r:id="rId5">
        <w:r>
          <w:rPr>
            <w:rStyle w:val="InternetLink"/>
          </w:rPr>
          <w:t>Sphinx</w:t>
        </w:r>
      </w:hyperlink>
      <w:r>
        <w:rPr/>
        <w:t xml:space="preserve"> using a </w:t>
      </w:r>
      <w:hyperlink r:id="rId6">
        <w:r>
          <w:rPr>
            <w:rStyle w:val="InternetLink"/>
          </w:rPr>
          <w:t>theme</w:t>
        </w:r>
      </w:hyperlink>
      <w:r>
        <w:rPr/>
        <w:t xml:space="preserve"> provided by </w:t>
      </w:r>
      <w:hyperlink r:id="rId7">
        <w:r>
          <w:rPr>
            <w:rStyle w:val="InternetLink"/>
          </w:rPr>
          <w:t>Read the Docs</w:t>
        </w:r>
      </w:hyperlink>
      <w:r>
        <w:rPr/>
        <w:t xml:space="preserve">.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sphinx-doc.org/" TargetMode="External"/><Relationship Id="rId6" Type="http://schemas.openxmlformats.org/officeDocument/2006/relationships/hyperlink" Target="https://github.com/rtfd/sphinx_rtd_theme" TargetMode="External"/><Relationship Id="rId7" Type="http://schemas.openxmlformats.org/officeDocument/2006/relationships/hyperlink" Target="https://readthedocs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8</Pages>
  <Words>869</Words>
  <Characters>4965</Characters>
  <CharactersWithSpaces>5730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2020-01-15T14:05:15Z</dcterms:created>
  <dc:creator/>
  <dc:description/>
  <dc:language>en-US</dc:language>
  <cp:lastModifiedBy/>
  <dcterms:modified xsi:type="dcterms:W3CDTF">2020-01-15T14:16:52Z</dcterms:modified>
  <cp:revision>2</cp:revision>
  <dc:subject/>
  <dc:title/>
</cp:coreProperties>
</file>