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0.626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0.652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0.494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0.826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0.829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0.515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0.780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0.666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0.941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-0.100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3.817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1.452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1.837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0.737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0.317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2025-01-23T11:53:24Z</dcterms:modified>
  <cp:category/>
</cp:coreProperties>
</file>