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80"/>
      </w:pPr>
      <w:r>
        <w:rPr>
          <w:color w:val="366C70"/>
          <w:sz w:val="18"/>
        </w:rPr>
        <w:t>CONCEPT PRODUIT  /  VERSION DE TRAVAIL 0.2</w:t>
      </w:r>
    </w:p>
    <w:p>
      <w:pPr>
        <w:pStyle w:val="Title"/>
      </w:pPr>
      <w:r>
        <w:t>atome</w:t>
        <w:br/>
        <w:t>Project Concept</w:t>
      </w:r>
    </w:p>
    <w:p>
      <w:pPr>
        <w:pStyle w:val="Subtitle"/>
      </w:pPr>
      <w:r>
        <w:t>Un objectif. Des outils réels.</w:t>
        <w:br/>
        <w:t>Un plan adapté à la personne.</w:t>
      </w:r>
    </w:p>
    <w:p>
      <w:pPr>
        <w:spacing w:before="480"/>
      </w:pPr>
      <w:r>
        <w:t xml:space="preserve">Socle commun à tous les projets, déclinaisons par domaine et première réalisation : </w:t>
      </w:r>
      <w:r>
        <w:rPr>
          <w:b/>
        </w:rPr>
        <w:t>Mieux dormir</w:t>
      </w:r>
      <w:r>
        <w:t>.</w:t>
      </w:r>
    </w:p>
    <w:p>
      <w:pPr>
        <w:pStyle w:val="Heading2"/>
      </w:pPr>
      <w:r>
        <w:t>Décisions structurantes</w:t>
      </w:r>
    </w:p>
    <w:p>
      <w:r>
        <w:t>Cinq familles de découverte, sans classement obligatoire. Deux curseurs communs : temps disponible et rythme souhaité. Un plan relié au calendrier et aux outils d’atome/eVe, plutôt qu’une application de gestion ajoutée par-dessus.</w:t>
      </w:r>
    </w:p>
    <w:p>
      <w:r>
        <w:t>L’IA accompagne toutes les familles. Enregistrer, collaborer et publier sont des actions transversales. Le scénario Sommeil sert de premier parcours complet ; ses briques fonctionnelles doivent pouvoir se recomposer dans d’autres projets.</w:t>
      </w:r>
    </w:p>
    <w:p>
      <w:pPr>
        <w:pStyle w:val="Heading2"/>
      </w:pPr>
      <w:r>
        <w:t>Périmètre de cette version</w:t>
      </w:r>
    </w:p>
    <w:p>
      <w:r>
        <w:t>Cette version précise les briques transversales demandées le 30 septembre 2026. Le texte de la version 0.1 a été relu intégralement. Les catégories proposées ne remplacent ni les activités d’outils existantes ni les listes personnalisées.</w:t>
      </w:r>
    </w:p>
    <w:p>
      <w:pPr>
        <w:shd w:fill="EEF3F2"/>
        <w:keepLines/>
        <w:pBdr>
          <w:left w:val="single" w:sz="15" w:color="366C70" w:space="9"/>
        </w:pBdr>
        <w:spacing w:before="140" w:after="200"/>
        <w:ind w:left="91"/>
      </w:pPr>
      <w:r>
        <w:rPr>
          <w:b/>
        </w:rPr>
        <w:t>Reprise de source non effectuée.</w:t>
      </w:r>
      <w:r>
        <w:t xml:space="preserve">  Le fichier Scenario_Sommeil.docx a été identifié, mais son texte intégral et ses visuels n’ont pas pu être relus dans cette session. Le parcours Sommeil présenté ici est une déclinaison de travail, pas une copie du document d’origine. Les modalités de reprise sont précisées en fin de document.</w:t>
      </w:r>
    </w:p>
    <w:p>
      <w:pPr>
        <w:pStyle w:val="Caption"/>
      </w:pPr>
      <w:r>
        <w:t>Original non modifié. Aucun changement de code, de calendrier ou de publication n’a été effectué.</w:t>
      </w:r>
    </w:p>
    <w:p>
      <w:pPr>
        <w:pStyle w:val="Caption"/>
      </w:pPr>
      <w:r>
        <w:t>30 septembre 2026  ·  atome / eVe  ·  Destination prévue : Bibliothèque / ThermUSS</w:t>
      </w:r>
    </w:p>
    <w:p>
      <w:r>
        <w:br w:type="page"/>
      </w:r>
    </w:p>
    <w:p>
      <w:pPr>
        <w:spacing w:after="120"/>
      </w:pPr>
      <w:r>
        <w:rPr>
          <w:color w:val="69767D"/>
          <w:sz w:val="16"/>
        </w:rPr>
        <w:t>INTENTION ET ARCHITECTURE FONCTIONNELLE</w:t>
      </w:r>
    </w:p>
    <w:p>
      <w:pPr>
        <w:pStyle w:val="Heading1"/>
      </w:pPr>
      <w:r>
        <w:t>01  Le projet comme unité centrale</w:t>
      </w:r>
    </w:p>
    <w:p>
      <w:r>
        <w:t>Un projet part de ce que la personne veut accomplir : mieux dormir, écrire un roman, préparer une tournée ou apprendre à chanter. Il rassemble les objets, les outils, les personnes et les actions utiles à cet objectif. Il reste un projet atome, pas un système parallèle de dossiers, de cartes ou de formulaires.</w:t>
      </w:r>
    </w:p>
    <w:p>
      <w:pPr>
        <w:shd w:fill="EEF3F2"/>
        <w:keepLines/>
        <w:pBdr>
          <w:left w:val="single" w:sz="15" w:color="366C70" w:space="9"/>
        </w:pBdr>
        <w:spacing w:before="140" w:after="200"/>
        <w:ind w:left="91"/>
      </w:pPr>
      <w:r>
        <w:rPr>
          <w:b/>
        </w:rPr>
        <w:t>Principe.</w:t>
      </w:r>
      <w:r>
        <w:t xml:space="preserve">  L’utilisateur choisit une intention. atome assemble les moyens de la réaliser, puis ajuste le plan à ce qui est réellement possible et observé.</w:t>
      </w:r>
    </w:p>
    <w:tbl>
      <w:tblPr>
        <w:tblW w:type="auto" w:w="0"/>
        <w:jc w:val="center"/>
        <w:tblLayout w:type="fixed"/>
        <w:tblLook w:firstColumn="1" w:firstRow="1" w:lastColumn="0" w:lastRow="0" w:noHBand="0" w:noVBand="1" w:val="04A0"/>
      </w:tblPr>
      <w:tblGrid>
        <w:gridCol w:w="2324"/>
        <w:gridCol w:w="7257"/>
      </w:tblGrid>
      <w:tr>
        <w:trPr>
          <w:tblHeader/>
          <w:cantSplit/>
        </w:trPr>
        <w:tc>
          <w:tcPr>
            <w:tcW w:type="dxa" w:w="2324"/>
            <w:shd w:fill="366C70"/>
            <w:vAlign w:val="center"/>
            <w:tcMar>
              <w:top w:w="90" w:type="dxa"/>
              <w:left w:w="90" w:type="dxa"/>
              <w:bottom w:w="90" w:type="dxa"/>
              <w:right w:w="90" w:type="dxa"/>
            </w:tcMar>
          </w:tcPr>
          <w:p>
            <w:pPr>
              <w:spacing w:after="60" w:before="40" w:line="252" w:lineRule="auto"/>
            </w:pPr>
            <w:r>
              <w:rPr>
                <w:b/>
                <w:color w:val="FFFFFF"/>
                <w:sz w:val="19"/>
              </w:rPr>
              <w:t>Notion</w:t>
            </w:r>
          </w:p>
        </w:tc>
        <w:tc>
          <w:tcPr>
            <w:tcW w:type="dxa" w:w="7257"/>
            <w:shd w:fill="366C70"/>
            <w:vAlign w:val="center"/>
            <w:tcMar>
              <w:top w:w="90" w:type="dxa"/>
              <w:left w:w="90" w:type="dxa"/>
              <w:bottom w:w="90" w:type="dxa"/>
              <w:right w:w="90" w:type="dxa"/>
            </w:tcMar>
          </w:tcPr>
          <w:p>
            <w:pPr>
              <w:spacing w:after="60" w:before="40" w:line="252" w:lineRule="auto"/>
            </w:pPr>
            <w:r>
              <w:rPr>
                <w:b/>
                <w:color w:val="FFFFFF"/>
                <w:sz w:val="19"/>
              </w:rPr>
              <w:t>Rôle dans le concept</w:t>
            </w:r>
          </w:p>
        </w:tc>
      </w:tr>
      <w:tr>
        <w:trPr>
          <w:cantSplit/>
        </w:trPr>
        <w:tc>
          <w:tcPr>
            <w:tcW w:type="dxa" w:w="2324"/>
            <w:vAlign w:val="center"/>
            <w:tcMar>
              <w:top w:w="90" w:type="dxa"/>
              <w:left w:w="90" w:type="dxa"/>
              <w:bottom w:w="90" w:type="dxa"/>
              <w:right w:w="90" w:type="dxa"/>
            </w:tcMar>
            <w:shd w:fill="F3F5F5"/>
          </w:tcPr>
          <w:p>
            <w:pPr>
              <w:spacing w:after="60" w:before="40" w:line="252" w:lineRule="auto"/>
            </w:pPr>
            <w:r>
              <w:rPr>
                <w:b/>
                <w:sz w:val="19"/>
              </w:rPr>
              <w:t>Projet</w:t>
            </w:r>
          </w:p>
        </w:tc>
        <w:tc>
          <w:tcPr>
            <w:tcW w:type="dxa" w:w="7257"/>
            <w:vAlign w:val="center"/>
            <w:tcMar>
              <w:top w:w="90" w:type="dxa"/>
              <w:left w:w="90" w:type="dxa"/>
              <w:bottom w:w="90" w:type="dxa"/>
              <w:right w:w="90" w:type="dxa"/>
            </w:tcMar>
            <w:shd w:fill="F3F5F5"/>
          </w:tcPr>
          <w:p>
            <w:pPr>
              <w:spacing w:after="60" w:before="40" w:line="252" w:lineRule="auto"/>
            </w:pPr>
            <w:r>
              <w:rPr>
                <w:sz w:val="19"/>
              </w:rPr>
              <w:t>Objectif vivant, contexte, ressources, historique, participants et résultat attendu.</w:t>
            </w:r>
          </w:p>
        </w:tc>
      </w:tr>
      <w:tr>
        <w:trPr>
          <w:cantSplit/>
        </w:trPr>
        <w:tc>
          <w:tcPr>
            <w:tcW w:type="dxa" w:w="2324"/>
            <w:vAlign w:val="center"/>
            <w:tcMar>
              <w:top w:w="90" w:type="dxa"/>
              <w:left w:w="90" w:type="dxa"/>
              <w:bottom w:w="90" w:type="dxa"/>
              <w:right w:w="90" w:type="dxa"/>
            </w:tcMar>
            <w:shd w:fill="FFFFFF"/>
          </w:tcPr>
          <w:p>
            <w:pPr>
              <w:spacing w:after="60" w:before="40" w:line="252" w:lineRule="auto"/>
            </w:pPr>
            <w:r>
              <w:rPr>
                <w:b/>
                <w:sz w:val="19"/>
              </w:rPr>
              <w:t>Famille de projet</w:t>
            </w:r>
          </w:p>
        </w:tc>
        <w:tc>
          <w:tcPr>
            <w:tcW w:type="dxa" w:w="7257"/>
            <w:vAlign w:val="center"/>
            <w:tcMar>
              <w:top w:w="90" w:type="dxa"/>
              <w:left w:w="90" w:type="dxa"/>
              <w:bottom w:w="90" w:type="dxa"/>
              <w:right w:w="90" w:type="dxa"/>
            </w:tcMar>
            <w:shd w:fill="FFFFFF"/>
          </w:tcPr>
          <w:p>
            <w:pPr>
              <w:spacing w:after="60" w:before="40" w:line="252" w:lineRule="auto"/>
            </w:pPr>
            <w:r>
              <w:rPr>
                <w:sz w:val="19"/>
              </w:rPr>
              <w:t>Filtre de découverte : santé, création, apprentissage, organisation ou vie quotidienne et loisirs.</w:t>
            </w:r>
          </w:p>
        </w:tc>
      </w:tr>
      <w:tr>
        <w:trPr>
          <w:cantSplit/>
        </w:trPr>
        <w:tc>
          <w:tcPr>
            <w:tcW w:type="dxa" w:w="2324"/>
            <w:vAlign w:val="center"/>
            <w:tcMar>
              <w:top w:w="90" w:type="dxa"/>
              <w:left w:w="90" w:type="dxa"/>
              <w:bottom w:w="90" w:type="dxa"/>
              <w:right w:w="90" w:type="dxa"/>
            </w:tcMar>
            <w:shd w:fill="F3F5F5"/>
          </w:tcPr>
          <w:p>
            <w:pPr>
              <w:spacing w:after="60" w:before="40" w:line="252" w:lineRule="auto"/>
            </w:pPr>
            <w:r>
              <w:rPr>
                <w:b/>
                <w:sz w:val="19"/>
              </w:rPr>
              <w:t>Domaine / activité</w:t>
            </w:r>
          </w:p>
        </w:tc>
        <w:tc>
          <w:tcPr>
            <w:tcW w:type="dxa" w:w="7257"/>
            <w:vAlign w:val="center"/>
            <w:tcMar>
              <w:top w:w="90" w:type="dxa"/>
              <w:left w:w="90" w:type="dxa"/>
              <w:bottom w:w="90" w:type="dxa"/>
              <w:right w:w="90" w:type="dxa"/>
            </w:tcMar>
            <w:shd w:fill="F3F5F5"/>
          </w:tcPr>
          <w:p>
            <w:pPr>
              <w:spacing w:after="60" w:before="40" w:line="252" w:lineRule="auto"/>
            </w:pPr>
            <w:r>
              <w:rPr>
                <w:sz w:val="19"/>
              </w:rPr>
              <w:t>Contexte de travail : musique, vidéo, texte, mise en page, nutrition, mouvement… Les activités d’outils existantes restent distinctes des familles.</w:t>
            </w:r>
          </w:p>
        </w:tc>
      </w:tr>
      <w:tr>
        <w:trPr>
          <w:cantSplit/>
        </w:trPr>
        <w:tc>
          <w:tcPr>
            <w:tcW w:type="dxa" w:w="2324"/>
            <w:vAlign w:val="center"/>
            <w:tcMar>
              <w:top w:w="90" w:type="dxa"/>
              <w:left w:w="90" w:type="dxa"/>
              <w:bottom w:w="90" w:type="dxa"/>
              <w:right w:w="90" w:type="dxa"/>
            </w:tcMar>
            <w:shd w:fill="FFFFFF"/>
          </w:tcPr>
          <w:p>
            <w:pPr>
              <w:spacing w:after="60" w:before="40" w:line="252" w:lineRule="auto"/>
            </w:pPr>
            <w:r>
              <w:rPr>
                <w:b/>
                <w:sz w:val="19"/>
              </w:rPr>
              <w:t>Scénario / modèle</w:t>
            </w:r>
          </w:p>
        </w:tc>
        <w:tc>
          <w:tcPr>
            <w:tcW w:type="dxa" w:w="7257"/>
            <w:vAlign w:val="center"/>
            <w:tcMar>
              <w:top w:w="90" w:type="dxa"/>
              <w:left w:w="90" w:type="dxa"/>
              <w:bottom w:w="90" w:type="dxa"/>
              <w:right w:w="90" w:type="dxa"/>
            </w:tcMar>
            <w:shd w:fill="FFFFFF"/>
          </w:tcPr>
          <w:p>
            <w:pPr>
              <w:spacing w:after="60" w:before="40" w:line="252" w:lineRule="auto"/>
            </w:pPr>
            <w:r>
              <w:rPr>
                <w:sz w:val="19"/>
              </w:rPr>
              <w:t>Point de départ réutilisable : déroulé, questions utiles et composition d’outils. Il est adaptable, pas imposé.</w:t>
            </w:r>
          </w:p>
        </w:tc>
      </w:tr>
      <w:tr>
        <w:trPr>
          <w:cantSplit/>
        </w:trPr>
        <w:tc>
          <w:tcPr>
            <w:tcW w:type="dxa" w:w="2324"/>
            <w:vAlign w:val="center"/>
            <w:tcMar>
              <w:top w:w="90" w:type="dxa"/>
              <w:left w:w="90" w:type="dxa"/>
              <w:bottom w:w="90" w:type="dxa"/>
              <w:right w:w="90" w:type="dxa"/>
            </w:tcMar>
            <w:shd w:fill="F3F5F5"/>
          </w:tcPr>
          <w:p>
            <w:pPr>
              <w:spacing w:after="60" w:before="40" w:line="252" w:lineRule="auto"/>
            </w:pPr>
            <w:r>
              <w:rPr>
                <w:b/>
                <w:sz w:val="19"/>
              </w:rPr>
              <w:t>Plan</w:t>
            </w:r>
          </w:p>
        </w:tc>
        <w:tc>
          <w:tcPr>
            <w:tcW w:type="dxa" w:w="7257"/>
            <w:vAlign w:val="center"/>
            <w:tcMar>
              <w:top w:w="90" w:type="dxa"/>
              <w:left w:w="90" w:type="dxa"/>
              <w:bottom w:w="90" w:type="dxa"/>
              <w:right w:w="90" w:type="dxa"/>
            </w:tcMar>
            <w:shd w:fill="F3F5F5"/>
          </w:tcPr>
          <w:p>
            <w:pPr>
              <w:spacing w:after="60" w:before="40" w:line="252" w:lineRule="auto"/>
            </w:pPr>
            <w:r>
              <w:rPr>
                <w:sz w:val="19"/>
              </w:rPr>
              <w:t>Actions et étapes reliées, durées, dépendances, rendez-vous éventuels, critères d’avancement et révisions.</w:t>
            </w:r>
          </w:p>
        </w:tc>
      </w:tr>
      <w:tr>
        <w:trPr>
          <w:cantSplit/>
        </w:trPr>
        <w:tc>
          <w:tcPr>
            <w:tcW w:type="dxa" w:w="2324"/>
            <w:vAlign w:val="center"/>
            <w:tcMar>
              <w:top w:w="90" w:type="dxa"/>
              <w:left w:w="90" w:type="dxa"/>
              <w:bottom w:w="90" w:type="dxa"/>
              <w:right w:w="90" w:type="dxa"/>
            </w:tcMar>
            <w:shd w:fill="FFFFFF"/>
          </w:tcPr>
          <w:p>
            <w:pPr>
              <w:spacing w:after="60" w:before="40" w:line="252" w:lineRule="auto"/>
            </w:pPr>
            <w:r>
              <w:rPr>
                <w:b/>
                <w:sz w:val="19"/>
              </w:rPr>
              <w:t>Outil</w:t>
            </w:r>
          </w:p>
        </w:tc>
        <w:tc>
          <w:tcPr>
            <w:tcW w:type="dxa" w:w="7257"/>
            <w:vAlign w:val="center"/>
            <w:tcMar>
              <w:top w:w="90" w:type="dxa"/>
              <w:left w:w="90" w:type="dxa"/>
              <w:bottom w:w="90" w:type="dxa"/>
              <w:right w:w="90" w:type="dxa"/>
            </w:tcMar>
            <w:shd w:fill="FFFFFF"/>
          </w:tcPr>
          <w:p>
            <w:pPr>
              <w:spacing w:after="60" w:before="40" w:line="252" w:lineRule="auto"/>
            </w:pPr>
            <w:r>
              <w:rPr>
                <w:sz w:val="19"/>
              </w:rPr>
              <w:t>Moyen concret d’agir, utilisé avec son apparence et ses options natives.</w:t>
            </w:r>
          </w:p>
        </w:tc>
      </w:tr>
      <w:tr>
        <w:trPr>
          <w:cantSplit/>
        </w:trPr>
        <w:tc>
          <w:tcPr>
            <w:tcW w:type="dxa" w:w="2324"/>
            <w:vAlign w:val="center"/>
            <w:tcMar>
              <w:top w:w="90" w:type="dxa"/>
              <w:left w:w="90" w:type="dxa"/>
              <w:bottom w:w="90" w:type="dxa"/>
              <w:right w:w="90" w:type="dxa"/>
            </w:tcMar>
            <w:shd w:fill="F3F5F5"/>
          </w:tcPr>
          <w:p>
            <w:pPr>
              <w:spacing w:after="60" w:before="40" w:line="252" w:lineRule="auto"/>
            </w:pPr>
            <w:r>
              <w:rPr>
                <w:b/>
                <w:sz w:val="19"/>
              </w:rPr>
              <w:t>Brique fonctionnelle</w:t>
            </w:r>
          </w:p>
        </w:tc>
        <w:tc>
          <w:tcPr>
            <w:tcW w:type="dxa" w:w="7257"/>
            <w:vAlign w:val="center"/>
            <w:tcMar>
              <w:top w:w="90" w:type="dxa"/>
              <w:left w:w="90" w:type="dxa"/>
              <w:bottom w:w="90" w:type="dxa"/>
              <w:right w:w="90" w:type="dxa"/>
            </w:tcMar>
            <w:shd w:fill="F3F5F5"/>
          </w:tcPr>
          <w:p>
            <w:pPr>
              <w:spacing w:after="60" w:before="40" w:line="252" w:lineRule="auto"/>
            </w:pPr>
            <w:r>
              <w:rPr>
                <w:sz w:val="19"/>
              </w:rPr>
              <w:t>Élément réutilisable sous le niveau du projet, simple ou composé. Sa nature technique reste à trancher : atome, molécule ou tool.</w:t>
            </w:r>
          </w:p>
        </w:tc>
      </w:tr>
    </w:tbl>
    <w:p>
      <w:pPr>
        <w:spacing w:after="0"/>
      </w:pPr>
    </w:p>
    <w:p>
      <w:pPr>
        <w:pStyle w:val="Heading2"/>
      </w:pPr>
      <w:r>
        <w:t>Trois niveaux de réutilisation</w:t>
      </w:r>
    </w:p>
    <w:p>
      <w:r>
        <w:rPr>
          <w:b/>
        </w:rPr>
        <w:t>Socle de tout projet :</w:t>
      </w:r>
      <w:r>
        <w:rPr>
          <w:b w:val="0"/>
        </w:rPr>
        <w:t xml:space="preserve"> objectif, implication, temps, plan, calendrier, ressources, suivi, accompagnement et partage maîtrisé. </w:t>
      </w:r>
      <w:r>
        <w:rPr>
          <w:b/>
        </w:rPr>
        <w:t>Briques fonctionnelles :</w:t>
      </w:r>
      <w:r>
        <w:rPr>
          <w:b w:val="0"/>
        </w:rPr>
        <w:t xml:space="preserve"> éléments composables entre projets et domaines, au-delà des seuls outils de suivi. </w:t>
      </w:r>
      <w:r>
        <w:rPr>
          <w:b/>
        </w:rPr>
        <w:t>Spécifique au scénario :</w:t>
      </w:r>
      <w:r>
        <w:rPr>
          <w:b w:val="0"/>
        </w:rPr>
        <w:t xml:space="preserve"> questions, observations et assemblage adaptés à l’objectif choisi. Voir 08.1 et 08.2.</w:t>
      </w:r>
    </w:p>
    <w:p>
      <w:r>
        <w:t>Un projet peut croiser plusieurs domaines. Préparer une tournée relève principalement de l’organisation, mobilise la musique et peut inclure des sous-projets de création, d’apprentissage, d’enregistrement et de publication. Le classement ne doit jamais limiter les outils accessibles.</w:t>
      </w:r>
    </w:p>
    <w:p>
      <w:pPr>
        <w:pStyle w:val="Heading2"/>
      </w:pPr>
      <w:r>
        <w:t>Une intention simple, des précisions progressives</w:t>
      </w:r>
    </w:p>
    <w:p>
      <w:r>
        <w:t>Ne pas demander un cahier des charges complet au démarrage. La formulation « mieux dormir » suffit pour entrer. Les sous-objectifs se précisent ensuite avec les observations et les choix de la personne ; ils ne sont pas tous affichés d’emblée.</w:t>
      </w:r>
    </w:p>
    <w:p>
      <w:r>
        <w:br w:type="page"/>
      </w:r>
    </w:p>
    <w:p>
      <w:pPr>
        <w:spacing w:after="120"/>
      </w:pPr>
      <w:r>
        <w:rPr>
          <w:color w:val="69767D"/>
          <w:sz w:val="16"/>
        </w:rPr>
        <w:t>ORGANISATION PROPOSÉE DU CATALOGUE</w:t>
      </w:r>
    </w:p>
    <w:p>
      <w:pPr>
        <w:pStyle w:val="Heading1"/>
      </w:pPr>
      <w:r>
        <w:t>02  Cinq familles, sans menu interminable</w:t>
      </w:r>
    </w:p>
    <w:p>
      <w:r>
        <w:t xml:space="preserve">La proposition est un premier niveau court de </w:t>
      </w:r>
      <w:r>
        <w:rPr>
          <w:b/>
        </w:rPr>
        <w:t>cinq familles</w:t>
      </w:r>
      <w:r>
        <w:t>. Ce sont des filtres souples, non des catégories exclusives. Une recherche directe dans le Finder permet d’accéder à un objectif ou de partir d’un projet existant sans parcourir l’arborescence.</w:t>
      </w:r>
    </w:p>
    <w:tbl>
      <w:tblPr>
        <w:tblW w:type="auto" w:w="0"/>
        <w:jc w:val="center"/>
        <w:tblLayout w:type="fixed"/>
        <w:tblLook w:firstColumn="1" w:firstRow="1" w:lastColumn="0" w:lastRow="0" w:noHBand="0" w:noVBand="1" w:val="04A0"/>
      </w:tblPr>
      <w:tblGrid>
        <w:gridCol w:w="2409"/>
        <w:gridCol w:w="7172"/>
      </w:tblGrid>
      <w:tr>
        <w:trPr>
          <w:tblHeader/>
          <w:cantSplit/>
        </w:trPr>
        <w:tc>
          <w:tcPr>
            <w:tcW w:type="dxa" w:w="2409"/>
            <w:shd w:fill="366C70"/>
            <w:vAlign w:val="center"/>
            <w:tcMar>
              <w:top w:w="90" w:type="dxa"/>
              <w:left w:w="90" w:type="dxa"/>
              <w:bottom w:w="90" w:type="dxa"/>
              <w:right w:w="90" w:type="dxa"/>
            </w:tcMar>
          </w:tcPr>
          <w:p>
            <w:pPr>
              <w:spacing w:after="60" w:before="40" w:line="252" w:lineRule="auto"/>
            </w:pPr>
            <w:r>
              <w:rPr>
                <w:b/>
                <w:color w:val="FFFFFF"/>
                <w:sz w:val="19"/>
              </w:rPr>
              <w:t>Famille</w:t>
            </w:r>
          </w:p>
        </w:tc>
        <w:tc>
          <w:tcPr>
            <w:tcW w:type="dxa" w:w="7172"/>
            <w:shd w:fill="366C70"/>
            <w:vAlign w:val="center"/>
            <w:tcMar>
              <w:top w:w="90" w:type="dxa"/>
              <w:left w:w="90" w:type="dxa"/>
              <w:bottom w:w="90" w:type="dxa"/>
              <w:right w:w="90" w:type="dxa"/>
            </w:tcMar>
          </w:tcPr>
          <w:p>
            <w:pPr>
              <w:spacing w:after="60" w:before="40" w:line="252" w:lineRule="auto"/>
            </w:pPr>
            <w:r>
              <w:rPr>
                <w:b/>
                <w:color w:val="FFFFFF"/>
                <w:sz w:val="19"/>
              </w:rPr>
              <w:t>Exemples d’intentions</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Santé et bien-être</w:t>
            </w:r>
          </w:p>
        </w:tc>
        <w:tc>
          <w:tcPr>
            <w:tcW w:type="dxa" w:w="7172"/>
            <w:shd w:fill="F4F6F6"/>
            <w:vAlign w:val="center"/>
            <w:tcMar>
              <w:top w:w="90" w:type="dxa"/>
              <w:left w:w="90" w:type="dxa"/>
              <w:bottom w:w="90" w:type="dxa"/>
              <w:right w:w="90" w:type="dxa"/>
            </w:tcMar>
          </w:tcPr>
          <w:p>
            <w:pPr>
              <w:spacing w:after="60" w:before="40" w:line="252" w:lineRule="auto"/>
            </w:pPr>
            <w:r>
              <w:rPr>
                <w:sz w:val="19"/>
              </w:rPr>
              <w:t>Mieux dormir, mieux manger, bouger davantage, prendre de la masse, perdre du poids, se sentir mieux dans son corps, gérer une douleur récurrente.</w:t>
            </w:r>
          </w:p>
        </w:tc>
      </w:tr>
      <w:tr>
        <w:trPr>
          <w:cantSplit/>
        </w:trPr>
        <w:tc>
          <w:tcPr>
            <w:tcW w:type="dxa" w:w="2409"/>
            <w:vAlign w:val="center"/>
            <w:tcMar>
              <w:top w:w="90" w:type="dxa"/>
              <w:left w:w="90" w:type="dxa"/>
              <w:bottom w:w="90" w:type="dxa"/>
              <w:right w:w="90" w:type="dxa"/>
            </w:tcMar>
          </w:tcPr>
          <w:p>
            <w:pPr>
              <w:spacing w:after="60" w:before="40" w:line="252" w:lineRule="auto"/>
            </w:pPr>
            <w:r>
              <w:rPr>
                <w:b/>
                <w:sz w:val="19"/>
              </w:rPr>
              <w:t>Création</w:t>
            </w:r>
          </w:p>
        </w:tc>
        <w:tc>
          <w:tcPr>
            <w:tcW w:type="dxa" w:w="7172"/>
            <w:vAlign w:val="center"/>
            <w:tcMar>
              <w:top w:w="90" w:type="dxa"/>
              <w:left w:w="90" w:type="dxa"/>
              <w:bottom w:w="90" w:type="dxa"/>
              <w:right w:w="90" w:type="dxa"/>
            </w:tcMar>
          </w:tcPr>
          <w:p>
            <w:pPr>
              <w:spacing w:after="60" w:before="40" w:line="252" w:lineRule="auto"/>
            </w:pPr>
            <w:r>
              <w:rPr>
                <w:sz w:val="19"/>
              </w:rPr>
              <w:t>Écrire un scénario, un roman ou une chanson ; créer un titre musical, un clip, un film ou un court-métrage ; dessiner et réaliser une mise en page.</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Apprentissage</w:t>
            </w:r>
          </w:p>
        </w:tc>
        <w:tc>
          <w:tcPr>
            <w:tcW w:type="dxa" w:w="7172"/>
            <w:shd w:fill="F4F6F6"/>
            <w:vAlign w:val="center"/>
            <w:tcMar>
              <w:top w:w="90" w:type="dxa"/>
              <w:left w:w="90" w:type="dxa"/>
              <w:bottom w:w="90" w:type="dxa"/>
              <w:right w:w="90" w:type="dxa"/>
            </w:tcMar>
          </w:tcPr>
          <w:p>
            <w:pPr>
              <w:spacing w:after="60" w:before="40" w:line="252" w:lineRule="auto"/>
            </w:pPr>
            <w:r>
              <w:rPr>
                <w:sz w:val="19"/>
              </w:rPr>
              <w:t>Apprendre à chanter, un instrument, une technique, la mise en page ou un art martial ; progresser sur une compétence précise.</w:t>
            </w:r>
          </w:p>
        </w:tc>
      </w:tr>
      <w:tr>
        <w:trPr>
          <w:cantSplit/>
        </w:trPr>
        <w:tc>
          <w:tcPr>
            <w:tcW w:type="dxa" w:w="2409"/>
            <w:vAlign w:val="center"/>
            <w:tcMar>
              <w:top w:w="90" w:type="dxa"/>
              <w:left w:w="90" w:type="dxa"/>
              <w:bottom w:w="90" w:type="dxa"/>
              <w:right w:w="90" w:type="dxa"/>
            </w:tcMar>
          </w:tcPr>
          <w:p>
            <w:pPr>
              <w:spacing w:after="60" w:before="40" w:line="252" w:lineRule="auto"/>
            </w:pPr>
            <w:r>
              <w:rPr>
                <w:b/>
                <w:sz w:val="19"/>
              </w:rPr>
              <w:t>Organisation</w:t>
            </w:r>
          </w:p>
        </w:tc>
        <w:tc>
          <w:tcPr>
            <w:tcW w:type="dxa" w:w="7172"/>
            <w:vAlign w:val="center"/>
            <w:tcMar>
              <w:top w:w="90" w:type="dxa"/>
              <w:left w:w="90" w:type="dxa"/>
              <w:bottom w:w="90" w:type="dxa"/>
              <w:right w:w="90" w:type="dxa"/>
            </w:tcMar>
          </w:tcPr>
          <w:p>
            <w:pPr>
              <w:spacing w:after="60" w:before="40" w:line="252" w:lineRule="auto"/>
            </w:pPr>
            <w:r>
              <w:rPr>
                <w:sz w:val="19"/>
              </w:rPr>
              <w:t>Préparer une tournée, un tournage, un événement ou un projet de travail ; coordonner des personnes, des moyens et des échéances.</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Vie quotidienne et loisirs</w:t>
            </w:r>
          </w:p>
        </w:tc>
        <w:tc>
          <w:tcPr>
            <w:tcW w:type="dxa" w:w="7172"/>
            <w:shd w:fill="F4F6F6"/>
            <w:vAlign w:val="center"/>
            <w:tcMar>
              <w:top w:w="90" w:type="dxa"/>
              <w:left w:w="90" w:type="dxa"/>
              <w:bottom w:w="90" w:type="dxa"/>
              <w:right w:w="90" w:type="dxa"/>
            </w:tcMar>
          </w:tcPr>
          <w:p>
            <w:pPr>
              <w:spacing w:after="60" w:before="40" w:line="252" w:lineRule="auto"/>
            </w:pPr>
            <w:r>
              <w:rPr>
                <w:sz w:val="19"/>
              </w:rPr>
              <w:t>Tenir un journal, développer ses relations, organiser un séjour ou une activité partagée, découvrir une pratique ou un divertissement.</w:t>
            </w:r>
          </w:p>
        </w:tc>
      </w:tr>
    </w:tbl>
    <w:p>
      <w:pPr>
        <w:spacing w:after="0"/>
      </w:pPr>
    </w:p>
    <w:p>
      <w:pPr>
        <w:pStyle w:val="Heading2"/>
      </w:pPr>
      <w:r>
        <w:t>Accès proposé</w:t>
      </w:r>
    </w:p>
    <w:p>
      <w:r>
        <w:t>L’entrée affiche une recherche et quelques intentions pertinentes. Un filtre de famille reste disponible dans le composant natif de sélection, éventuellement sous forme de liste déroulante courte. Après sélection, le Finder montre les objectifs correspondants ; les résultats restent recherchables. Aucun troisième niveau n’est obligatoire.</w:t>
      </w:r>
    </w:p>
    <w:p>
      <w:r>
        <w:t>L’ordre doit privilégier les objectifs pertinents dans le contexte, les favoris et les projets récents, sans faire disparaître les autres possibilités. La formulation libre reste toujours disponible. Les alias renvoient au même modèle, au lieu de créer des doublons.</w:t>
      </w:r>
    </w:p>
    <w:p>
      <w:pPr>
        <w:pStyle w:val="Heading2"/>
      </w:pPr>
      <w:r>
        <w:t>Ce qui ne devient pas une famille</w:t>
      </w:r>
    </w:p>
    <w:p>
      <w:r>
        <w:rPr>
          <w:b/>
        </w:rPr>
        <w:t>Guidé par IA</w:t>
      </w:r>
      <w:r>
        <w:t xml:space="preserve"> décrit l’accompagnement, pas l’objectif. </w:t>
      </w:r>
      <w:r>
        <w:rPr>
          <w:b/>
        </w:rPr>
        <w:t>Enregistrement en direct</w:t>
      </w:r>
      <w:r>
        <w:t xml:space="preserve"> décrit une action de production. </w:t>
      </w:r>
      <w:r>
        <w:rPr>
          <w:b/>
        </w:rPr>
        <w:t>Publication</w:t>
      </w:r>
      <w:r>
        <w:t xml:space="preserve"> décrit une étape de diffusion. Ces trois entrées doivent être accessibles directement lorsque c’est pertinent, mais ne forment pas trois silos supplémentaires.</w:t>
      </w:r>
    </w:p>
    <w:p>
      <w:pPr>
        <w:shd w:fill="EEF3F2"/>
        <w:keepLines/>
        <w:pBdr>
          <w:left w:val="single" w:sz="15" w:color="366C70" w:space="9"/>
        </w:pBdr>
        <w:spacing w:before="140" w:after="200"/>
        <w:ind w:left="91"/>
      </w:pPr>
      <w:r>
        <w:rPr>
          <w:b/>
        </w:rPr>
        <w:t>Correspondance avec l’existant.</w:t>
      </w:r>
      <w:r>
        <w:t xml:space="preserve">  La liste antérieure complète n’a pas été relue dans un document canonique. Ce catalogue est une extension proposée : préserver les entrées et identifiants existants, puis rapprocher synonymes et variantes avant tout ajout.</w:t>
      </w:r>
    </w:p>
    <w:p>
      <w:r>
        <w:br w:type="page"/>
      </w:r>
    </w:p>
    <w:p>
      <w:pPr>
        <w:spacing w:after="120"/>
      </w:pPr>
      <w:r>
        <w:rPr>
          <w:color w:val="69767D"/>
          <w:sz w:val="16"/>
        </w:rPr>
        <w:t>COUVERTURE DES USAGES DEMANDÉS</w:t>
      </w:r>
    </w:p>
    <w:p>
      <w:pPr>
        <w:pStyle w:val="Heading1"/>
      </w:pPr>
      <w:r>
        <w:t>03  Liste de départ et cas ambigus</w:t>
      </w:r>
    </w:p>
    <w:p>
      <w:pPr>
        <w:pStyle w:val="Heading2"/>
      </w:pPr>
      <w:r>
        <w:t>Santé : une dizaine d’entrées visibles, extensibles</w:t>
      </w:r>
    </w:p>
    <w:p>
      <w:r>
        <w:t xml:space="preserve">La sélection initiale proposée comprend : </w:t>
      </w:r>
      <w:r>
        <w:rPr>
          <w:b/>
        </w:rPr>
        <w:t>mieux dormir ; mieux manger ; bouger davantage ; prendre de la masse ; perdre du poids ; se sentir mieux dans son corps ; gérer une douleur récurrente ; se relaxer ; prendre soin de sa santé mentale ; améliorer son bien-être sexuel</w:t>
      </w:r>
      <w:r>
        <w:t>. Ce n’est pas une affirmation de la liste officielle existante : il faudra la rapprocher du catalogue source.</w:t>
      </w:r>
    </w:p>
    <w:p>
      <w:r>
        <w:t>Les relations sociales restent aussi trouvables depuis la santé lorsqu’elles sont pertinentes, tout en ayant une entrée principale dans la vie quotidienne. Nutrition, mouvement, relaxation et relations ne sont pas des étapes obligatoires de tous les parcours santé : les briques apparaissent selon le besoin.</w:t>
      </w:r>
    </w:p>
    <w:p>
      <w:pPr>
        <w:pStyle w:val="Heading2"/>
      </w:pPr>
      <w:r>
        <w:t>Création : objectifs plutôt que noms de logiciels</w:t>
      </w:r>
    </w:p>
    <w:p>
      <w:r>
        <w:t>Proposer écrire un scénario, créer un film, créer un court-métrage, réaliser un clip musical, créer un titre musical, composer une chanson, écrire un roman, dessiner et réaliser une mise en page. Le choix de l’objectif détermine les questions nécessaires et l’assemblage initial des outils ; il ne verrouille pas le projet dans un seul média.</w:t>
      </w:r>
    </w:p>
    <w:p>
      <w:pPr>
        <w:pStyle w:val="Heading2"/>
      </w:pPr>
      <w:r>
        <w:t>Apprentissage : objet, niveau, prochaine compétence</w:t>
      </w:r>
    </w:p>
    <w:p>
      <w:r>
        <w:t>Proposer chant, instrument, technique musicale, technique graphique ou vidéo, écriture, mise en page et art martial. « Maîtriser une technique » est précisé par la personne ou par une question ciblée. Le niveau de maîtrise existant est réutilisé quand il est pertinent ; il ne faut pas le redemander systématiquement.</w:t>
      </w:r>
    </w:p>
    <w:tbl>
      <w:tblPr>
        <w:tblW w:type="auto" w:w="0"/>
        <w:jc w:val="center"/>
        <w:tblLayout w:type="fixed"/>
        <w:tblLook w:firstColumn="1" w:firstRow="1" w:lastColumn="0" w:lastRow="0" w:noHBand="0" w:noVBand="1" w:val="04A0"/>
      </w:tblPr>
      <w:tblGrid>
        <w:gridCol w:w="2665"/>
        <w:gridCol w:w="6917"/>
      </w:tblGrid>
      <w:tr>
        <w:trPr>
          <w:tblHeader/>
          <w:cantSplit/>
        </w:trPr>
        <w:tc>
          <w:tcPr>
            <w:tcW w:type="dxa" w:w="2665"/>
            <w:shd w:fill="366C70"/>
            <w:vAlign w:val="center"/>
            <w:tcMar>
              <w:top w:w="90" w:type="dxa"/>
              <w:left w:w="90" w:type="dxa"/>
              <w:bottom w:w="90" w:type="dxa"/>
              <w:right w:w="90" w:type="dxa"/>
            </w:tcMar>
          </w:tcPr>
          <w:p>
            <w:pPr>
              <w:spacing w:after="60" w:before="40" w:line="252" w:lineRule="auto"/>
            </w:pPr>
            <w:r>
              <w:rPr>
                <w:b/>
                <w:color w:val="FFFFFF"/>
                <w:sz w:val="19"/>
              </w:rPr>
              <w:t>Intention ambiguë</w:t>
            </w:r>
          </w:p>
        </w:tc>
        <w:tc>
          <w:tcPr>
            <w:tcW w:type="dxa" w:w="6917"/>
            <w:shd w:fill="366C70"/>
            <w:vAlign w:val="center"/>
            <w:tcMar>
              <w:top w:w="90" w:type="dxa"/>
              <w:left w:w="90" w:type="dxa"/>
              <w:bottom w:w="90" w:type="dxa"/>
              <w:right w:w="90" w:type="dxa"/>
            </w:tcMar>
          </w:tcPr>
          <w:p>
            <w:pPr>
              <w:spacing w:after="60" w:before="40" w:line="252" w:lineRule="auto"/>
            </w:pPr>
            <w:r>
              <w:rPr>
                <w:b/>
                <w:color w:val="FFFFFF"/>
                <w:sz w:val="19"/>
              </w:rPr>
              <w:t>Traitement proposé</w:t>
            </w:r>
          </w:p>
        </w:tc>
      </w:tr>
      <w:tr>
        <w:trPr>
          <w:cantSplit/>
        </w:trPr>
        <w:tc>
          <w:tcPr>
            <w:tcW w:type="dxa" w:w="2665"/>
            <w:shd w:fill="F4F6F6"/>
            <w:vAlign w:val="center"/>
            <w:tcMar>
              <w:top w:w="90" w:type="dxa"/>
              <w:left w:w="90" w:type="dxa"/>
              <w:bottom w:w="90" w:type="dxa"/>
              <w:right w:w="90" w:type="dxa"/>
            </w:tcMar>
          </w:tcPr>
          <w:p>
            <w:pPr>
              <w:spacing w:after="60" w:before="40" w:line="252" w:lineRule="auto"/>
            </w:pPr>
            <w:r>
              <w:rPr>
                <w:sz w:val="19"/>
              </w:rPr>
              <w:t>« Faire un scénario »</w:t>
            </w:r>
          </w:p>
        </w:tc>
        <w:tc>
          <w:tcPr>
            <w:tcW w:type="dxa" w:w="6917"/>
            <w:shd w:fill="F4F6F6"/>
            <w:vAlign w:val="center"/>
            <w:tcMar>
              <w:top w:w="90" w:type="dxa"/>
              <w:left w:w="90" w:type="dxa"/>
              <w:bottom w:w="90" w:type="dxa"/>
              <w:right w:w="90" w:type="dxa"/>
            </w:tcMar>
          </w:tcPr>
          <w:p>
            <w:pPr>
              <w:spacing w:after="60" w:before="40" w:line="252" w:lineRule="auto"/>
            </w:pPr>
            <w:r>
              <w:rPr>
                <w:sz w:val="19"/>
              </w:rPr>
              <w:t>Distinguer écriture d’un scénario et assemblage d’un scénario interactif seulement si le contexte ne suffit pas.</w:t>
            </w:r>
          </w:p>
        </w:tc>
      </w:tr>
      <w:tr>
        <w:trPr>
          <w:cantSplit/>
        </w:trPr>
        <w:tc>
          <w:tcPr>
            <w:tcW w:type="dxa" w:w="2665"/>
            <w:vAlign w:val="center"/>
            <w:tcMar>
              <w:top w:w="90" w:type="dxa"/>
              <w:left w:w="90" w:type="dxa"/>
              <w:bottom w:w="90" w:type="dxa"/>
              <w:right w:w="90" w:type="dxa"/>
            </w:tcMar>
          </w:tcPr>
          <w:p>
            <w:pPr>
              <w:spacing w:after="60" w:before="40" w:line="252" w:lineRule="auto"/>
            </w:pPr>
            <w:r>
              <w:rPr>
                <w:sz w:val="19"/>
              </w:rPr>
              <w:t>« Préparer une tournée »</w:t>
            </w:r>
          </w:p>
        </w:tc>
        <w:tc>
          <w:tcPr>
            <w:tcW w:type="dxa" w:w="6917"/>
            <w:vAlign w:val="center"/>
            <w:tcMar>
              <w:top w:w="90" w:type="dxa"/>
              <w:left w:w="90" w:type="dxa"/>
              <w:bottom w:w="90" w:type="dxa"/>
              <w:right w:w="90" w:type="dxa"/>
            </w:tcMar>
          </w:tcPr>
          <w:p>
            <w:pPr>
              <w:spacing w:after="60" w:before="40" w:line="252" w:lineRule="auto"/>
            </w:pPr>
            <w:r>
              <w:rPr>
                <w:sz w:val="19"/>
              </w:rPr>
              <w:t>Organisation comme entrée principale ; musique, répétitions, captation et publication comme domaines ou étapes liés.</w:t>
            </w:r>
          </w:p>
        </w:tc>
      </w:tr>
      <w:tr>
        <w:trPr>
          <w:cantSplit/>
        </w:trPr>
        <w:tc>
          <w:tcPr>
            <w:tcW w:type="dxa" w:w="2665"/>
            <w:shd w:fill="F4F6F6"/>
            <w:vAlign w:val="center"/>
            <w:tcMar>
              <w:top w:w="90" w:type="dxa"/>
              <w:left w:w="90" w:type="dxa"/>
              <w:bottom w:w="90" w:type="dxa"/>
              <w:right w:w="90" w:type="dxa"/>
            </w:tcMar>
          </w:tcPr>
          <w:p>
            <w:pPr>
              <w:spacing w:after="60" w:before="40" w:line="252" w:lineRule="auto"/>
            </w:pPr>
            <w:r>
              <w:rPr>
                <w:sz w:val="19"/>
              </w:rPr>
              <w:t>« Faire du live »</w:t>
            </w:r>
          </w:p>
        </w:tc>
        <w:tc>
          <w:tcPr>
            <w:tcW w:type="dxa" w:w="6917"/>
            <w:shd w:fill="F4F6F6"/>
            <w:vAlign w:val="center"/>
            <w:tcMar>
              <w:top w:w="90" w:type="dxa"/>
              <w:left w:w="90" w:type="dxa"/>
              <w:bottom w:w="90" w:type="dxa"/>
              <w:right w:w="90" w:type="dxa"/>
            </w:tcMar>
          </w:tcPr>
          <w:p>
            <w:pPr>
              <w:spacing w:after="60" w:before="40" w:line="252" w:lineRule="auto"/>
            </w:pPr>
            <w:r>
              <w:rPr>
                <w:sz w:val="19"/>
              </w:rPr>
              <w:t>Distinguer captation audio/vidéo, performance et diffusion publique. Enregistrer ne signifie pas publier.</w:t>
            </w:r>
          </w:p>
        </w:tc>
      </w:tr>
      <w:tr>
        <w:trPr>
          <w:cantSplit/>
        </w:trPr>
        <w:tc>
          <w:tcPr>
            <w:tcW w:type="dxa" w:w="2665"/>
            <w:vAlign w:val="center"/>
            <w:tcMar>
              <w:top w:w="90" w:type="dxa"/>
              <w:left w:w="90" w:type="dxa"/>
              <w:bottom w:w="90" w:type="dxa"/>
              <w:right w:w="90" w:type="dxa"/>
            </w:tcMar>
          </w:tcPr>
          <w:p>
            <w:pPr>
              <w:spacing w:after="60" w:before="40" w:line="252" w:lineRule="auto"/>
            </w:pPr>
            <w:r>
              <w:rPr>
                <w:sz w:val="19"/>
              </w:rPr>
              <w:t>« Réaliser un objectif »</w:t>
            </w:r>
          </w:p>
        </w:tc>
        <w:tc>
          <w:tcPr>
            <w:tcW w:type="dxa" w:w="6917"/>
            <w:vAlign w:val="center"/>
            <w:tcMar>
              <w:top w:w="90" w:type="dxa"/>
              <w:left w:w="90" w:type="dxa"/>
              <w:bottom w:w="90" w:type="dxa"/>
              <w:right w:w="90" w:type="dxa"/>
            </w:tcMar>
          </w:tcPr>
          <w:p>
            <w:pPr>
              <w:spacing w:after="60" w:before="40" w:line="252" w:lineRule="auto"/>
            </w:pPr>
            <w:r>
              <w:rPr>
                <w:sz w:val="19"/>
              </w:rPr>
              <w:t>Garder une entrée libre. Demander le résultat recherché, pas une catégorie supplémentaire nommée Objectifs.</w:t>
            </w:r>
          </w:p>
        </w:tc>
      </w:tr>
      <w:tr>
        <w:trPr>
          <w:cantSplit/>
        </w:trPr>
        <w:tc>
          <w:tcPr>
            <w:tcW w:type="dxa" w:w="2665"/>
            <w:shd w:fill="F4F6F6"/>
            <w:vAlign w:val="center"/>
            <w:tcMar>
              <w:top w:w="90" w:type="dxa"/>
              <w:left w:w="90" w:type="dxa"/>
              <w:bottom w:w="90" w:type="dxa"/>
              <w:right w:w="90" w:type="dxa"/>
            </w:tcMar>
          </w:tcPr>
          <w:p>
            <w:pPr>
              <w:spacing w:after="60" w:before="40" w:line="252" w:lineRule="auto"/>
            </w:pPr>
            <w:r>
              <w:rPr>
                <w:sz w:val="19"/>
              </w:rPr>
              <w:t>« Publier sur un réseau »</w:t>
            </w:r>
          </w:p>
        </w:tc>
        <w:tc>
          <w:tcPr>
            <w:tcW w:type="dxa" w:w="6917"/>
            <w:shd w:fill="F4F6F6"/>
            <w:vAlign w:val="center"/>
            <w:tcMar>
              <w:top w:w="90" w:type="dxa"/>
              <w:left w:w="90" w:type="dxa"/>
              <w:bottom w:w="90" w:type="dxa"/>
              <w:right w:w="90" w:type="dxa"/>
            </w:tcMar>
          </w:tcPr>
          <w:p>
            <w:pPr>
              <w:spacing w:after="60" w:before="40" w:line="252" w:lineRule="auto"/>
            </w:pPr>
            <w:r>
              <w:rPr>
                <w:sz w:val="19"/>
              </w:rPr>
              <w:t>Partir du contenu ou du projet. Publication dans le réseau atome ; destinations externes disponibles comme exports explicites.</w:t>
            </w:r>
          </w:p>
        </w:tc>
      </w:tr>
    </w:tbl>
    <w:p>
      <w:pPr>
        <w:spacing w:after="0"/>
      </w:pPr>
    </w:p>
    <w:p>
      <w:pPr>
        <w:pStyle w:val="Caption"/>
      </w:pPr>
      <w:r>
        <w:t>Travail, musique, vidéo, relations ou divertissement peuvent rester des mots-clés de découverte transversaux. Une entrée appartient à une famille principale pour être trouvée, mais peut être proposée dans plusieurs contextes sans dupliquer son contenu.</w:t>
      </w:r>
    </w:p>
    <w:p>
      <w:r>
        <w:br w:type="page"/>
      </w:r>
    </w:p>
    <w:p>
      <w:pPr>
        <w:spacing w:after="120"/>
      </w:pPr>
      <w:r>
        <w:rPr>
          <w:color w:val="69767D"/>
          <w:sz w:val="16"/>
        </w:rPr>
        <w:t>PARAMÈTRES COMMUNS À TOUS LES PROJETS</w:t>
      </w:r>
    </w:p>
    <w:p>
      <w:pPr>
        <w:pStyle w:val="Heading1"/>
      </w:pPr>
      <w:r>
        <w:t>04  Implication : deux curseurs, pas trois</w:t>
      </w:r>
    </w:p>
    <w:p>
      <w:r>
        <w:t xml:space="preserve">Le bloc </w:t>
      </w:r>
      <w:r>
        <w:rPr>
          <w:b/>
        </w:rPr>
        <w:t>Implication</w:t>
      </w:r>
      <w:r>
        <w:t xml:space="preserve"> est commun à tous les projets. Les deux curseurs représentent deux décisions différentes : le temps que la personne peut réellement consacrer au projet, puis le rythme de progression qu’elle souhaite. Les mêmes composants et les mêmes significations sont conservés d’un scénario à l’autre.</w:t>
      </w:r>
    </w:p>
    <w:p>
      <w:pPr>
        <w:pStyle w:val="Heading2"/>
      </w:pPr>
      <w:r>
        <w:t>Curseur 1 — Temps disponible</w:t>
      </w:r>
    </w:p>
    <w:p>
      <w:r>
        <w:t xml:space="preserve">Afficher une durée avec un choix d’unité </w:t>
      </w:r>
      <w:r>
        <w:rPr>
          <w:b/>
        </w:rPr>
        <w:t>par jour / par semaine</w:t>
      </w:r>
      <w:r>
        <w:t>. C’est un seul budget, pas deux budgets qui s’additionnent. Une valeur précise doit pouvoir être saisie avec le comportement natif du composant. Le budget comprend les séances, la préparation, les saisies et les bilans ; le suivi ne devient pas un coût caché.</w:t>
      </w:r>
    </w:p>
    <w:p>
      <w:r>
        <w:t>Exemple de calcul : 10 minutes par jour sur 5 jours disponibles représentent 50 minutes par semaine. Le passage d’une unité à l’autre conserve ce total et les jours choisis. Si les jours ne sont pas connus, ne pas convertir en supposant silencieusement 7 jours. Une préférence quotidienne et un plafond hebdomadaire ne doivent pas être confondus.</w:t>
      </w:r>
    </w:p>
    <w:p>
      <w:pPr>
        <w:pStyle w:val="Heading2"/>
      </w:pPr>
      <w:r>
        <w:t>Curseur 2 — Rythme souhaité</w:t>
      </w:r>
    </w:p>
    <w:p>
      <w:r>
        <w:t xml:space="preserve">Le second curseur va de </w:t>
      </w:r>
      <w:r>
        <w:rPr>
          <w:b/>
        </w:rPr>
        <w:t>À mon rythme</w:t>
      </w:r>
      <w:r>
        <w:t xml:space="preserve"> à </w:t>
      </w:r>
      <w:r>
        <w:rPr>
          <w:b/>
        </w:rPr>
        <w:t>Priorité à une progression rapide</w:t>
      </w:r>
      <w:r>
        <w:t>, avec des positions compréhensibles, par exemple souple, régulier et soutenu. Il exprime une priorité, pas une garantie de résultat. L’aperçu du plan traduit ce choix en fréquence, charge envisagée, arbitrages et horizon estimé lorsque cet horizon peut être estimé.</w:t>
      </w:r>
    </w:p>
    <w:p>
      <w:r>
        <w:t>L’implication réelle est déduite de la combinaison des deux curseurs et des contraintes du domaine. Elle n’est pas calculée par une équation arbitraire « deux fois plus d’effort = deux fois plus vite ». Un délai souhaité ou une échéance peut être précisé en option, sans ajouter un troisième curseur obligatoire.</w:t>
      </w:r>
    </w:p>
    <w:p>
      <w:pPr>
        <w:pStyle w:val="Heading2"/>
      </w:pPr>
      <w:r>
        <w:t>Disponibilités et tolérance : réglages contextuels</w:t>
      </w:r>
    </w:p>
    <w:p>
      <w:r>
        <w:t xml:space="preserve">Le réglage facultatif </w:t>
      </w:r>
      <w:r>
        <w:rPr>
          <w:b/>
        </w:rPr>
        <w:t>Disponibilités</w:t>
      </w:r>
      <w:r>
        <w:t xml:space="preserve"> utilise l’outil de calendrier/temps : jours, plages préférées, créneaux exclus et rendez-vous fixes. La tolérance physique, mentale ou organisationnelle est précisée uniquement quand le projet l’exige. Elle reste une limite indépendante du désir d’aller vite.</w:t>
      </w:r>
    </w:p>
    <w:p>
      <w:pPr>
        <w:shd w:fill="EEF3F2"/>
        <w:keepLines/>
        <w:pBdr>
          <w:left w:val="single" w:sz="15" w:color="366C70" w:space="9"/>
        </w:pBdr>
        <w:spacing w:before="140" w:after="200"/>
        <w:ind w:left="91"/>
      </w:pPr>
      <w:r>
        <w:rPr>
          <w:b/>
        </w:rPr>
        <w:t>Arbitrage obligatoire.</w:t>
      </w:r>
      <w:r>
        <w:t xml:space="preserve">  Si le rythme demandé ne tient pas dans le temps disponible, montrer le conflit. Proposer de réduire le périmètre, d’allonger l’horizon ou de modifier explicitement le budget. Ne jamais augmenter seul le temps ou l’effort accepté.</w:t>
      </w:r>
    </w:p>
    <w:p>
      <w:r>
        <w:t>Résultat rapide et résultat durable ne sont pas des opposés. La qualité, la sécurité, le repos et les engagements déjà pris ne sont pas des variables à sacrifier automatiquement pour accélérer.</w:t>
      </w:r>
    </w:p>
    <w:p>
      <w:r>
        <w:br w:type="page"/>
      </w:r>
    </w:p>
    <w:p>
      <w:pPr>
        <w:spacing w:after="120"/>
      </w:pPr>
      <w:r>
        <w:rPr>
          <w:color w:val="69767D"/>
          <w:sz w:val="16"/>
        </w:rPr>
        <w:t>CONTRAINTES À TRANSMETTRE AU FUTUR ALGORITHME</w:t>
      </w:r>
    </w:p>
    <w:p>
      <w:pPr>
        <w:pStyle w:val="Heading1"/>
      </w:pPr>
      <w:r>
        <w:t>05  Le plan alimente le calendrier</w:t>
      </w:r>
    </w:p>
    <w:p>
      <w:r>
        <w:t>Le calendrier ne constitue pas un écran final décoratif. Les actions validées du projet l’alimentent ; les changements du calendrier peuvent en retour provoquer une proposition d’ajustement du plan. Le moteur de placement sera défini séparément, mais ses entrées, ses limites et ses sorties doivent être fixées dès maintenant.</w:t>
      </w:r>
    </w:p>
    <w:tbl>
      <w:tblPr>
        <w:tblW w:type="auto" w:w="0"/>
        <w:jc w:val="center"/>
        <w:tblLayout w:type="fixed"/>
        <w:tblLook w:firstColumn="1" w:firstRow="1" w:lastColumn="0" w:lastRow="0" w:noHBand="0" w:noVBand="1" w:val="04A0"/>
      </w:tblPr>
      <w:tblGrid>
        <w:gridCol w:w="2409"/>
        <w:gridCol w:w="7172"/>
      </w:tblGrid>
      <w:tr>
        <w:trPr>
          <w:tblHeader/>
          <w:cantSplit/>
        </w:trPr>
        <w:tc>
          <w:tcPr>
            <w:tcW w:type="dxa" w:w="2409"/>
            <w:shd w:fill="366C70"/>
            <w:vAlign w:val="center"/>
            <w:tcMar>
              <w:top w:w="90" w:type="dxa"/>
              <w:left w:w="90" w:type="dxa"/>
              <w:bottom w:w="90" w:type="dxa"/>
              <w:right w:w="90" w:type="dxa"/>
            </w:tcMar>
          </w:tcPr>
          <w:p>
            <w:pPr>
              <w:spacing w:after="60" w:before="40" w:line="252" w:lineRule="auto"/>
            </w:pPr>
            <w:r>
              <w:rPr>
                <w:b/>
                <w:color w:val="FFFFFF"/>
                <w:sz w:val="19"/>
              </w:rPr>
              <w:t>À prendre en compte</w:t>
            </w:r>
          </w:p>
        </w:tc>
        <w:tc>
          <w:tcPr>
            <w:tcW w:type="dxa" w:w="7172"/>
            <w:shd w:fill="366C70"/>
            <w:vAlign w:val="center"/>
            <w:tcMar>
              <w:top w:w="90" w:type="dxa"/>
              <w:left w:w="90" w:type="dxa"/>
              <w:bottom w:w="90" w:type="dxa"/>
              <w:right w:w="90" w:type="dxa"/>
            </w:tcMar>
          </w:tcPr>
          <w:p>
            <w:pPr>
              <w:spacing w:after="60" w:before="40" w:line="252" w:lineRule="auto"/>
            </w:pPr>
            <w:r>
              <w:rPr>
                <w:b/>
                <w:color w:val="FFFFFF"/>
                <w:sz w:val="19"/>
              </w:rPr>
              <w:t>Règle fonctionnelle</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Temps et disponibilité</w:t>
            </w:r>
          </w:p>
        </w:tc>
        <w:tc>
          <w:tcPr>
            <w:tcW w:type="dxa" w:w="7172"/>
            <w:shd w:fill="F4F6F6"/>
            <w:vAlign w:val="center"/>
            <w:tcMar>
              <w:top w:w="90" w:type="dxa"/>
              <w:left w:w="90" w:type="dxa"/>
              <w:bottom w:w="90" w:type="dxa"/>
              <w:right w:w="90" w:type="dxa"/>
            </w:tcMar>
          </w:tcPr>
          <w:p>
            <w:pPr>
              <w:spacing w:after="60" w:before="40" w:line="252" w:lineRule="auto"/>
            </w:pPr>
            <w:r>
              <w:rPr>
                <w:sz w:val="19"/>
              </w:rPr>
              <w:t>Budget du projet, autres projets actifs, engagements déjà placés, jours disponibles et durée minimale des séances.</w:t>
            </w:r>
          </w:p>
        </w:tc>
      </w:tr>
      <w:tr>
        <w:trPr>
          <w:cantSplit/>
        </w:trPr>
        <w:tc>
          <w:tcPr>
            <w:tcW w:type="dxa" w:w="2409"/>
            <w:vAlign w:val="center"/>
            <w:tcMar>
              <w:top w:w="90" w:type="dxa"/>
              <w:left w:w="90" w:type="dxa"/>
              <w:bottom w:w="90" w:type="dxa"/>
              <w:right w:w="90" w:type="dxa"/>
            </w:tcMar>
          </w:tcPr>
          <w:p>
            <w:pPr>
              <w:spacing w:after="60" w:before="40" w:line="252" w:lineRule="auto"/>
            </w:pPr>
            <w:r>
              <w:rPr>
                <w:b/>
                <w:sz w:val="19"/>
              </w:rPr>
              <w:t>Préférences</w:t>
            </w:r>
          </w:p>
        </w:tc>
        <w:tc>
          <w:tcPr>
            <w:tcW w:type="dxa" w:w="7172"/>
            <w:vAlign w:val="center"/>
            <w:tcMar>
              <w:top w:w="90" w:type="dxa"/>
              <w:left w:w="90" w:type="dxa"/>
              <w:bottom w:w="90" w:type="dxa"/>
              <w:right w:w="90" w:type="dxa"/>
            </w:tcMar>
          </w:tcPr>
          <w:p>
            <w:pPr>
              <w:spacing w:after="60" w:before="40" w:line="252" w:lineRule="auto"/>
            </w:pPr>
            <w:r>
              <w:rPr>
                <w:sz w:val="19"/>
              </w:rPr>
              <w:t>Plages préférées, jours à éviter, souplesse de déplacement. Distinguer préférence et indisponibilité ferme.</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Actions</w:t>
            </w:r>
          </w:p>
        </w:tc>
        <w:tc>
          <w:tcPr>
            <w:tcW w:type="dxa" w:w="7172"/>
            <w:shd w:fill="F4F6F6"/>
            <w:vAlign w:val="center"/>
            <w:tcMar>
              <w:top w:w="90" w:type="dxa"/>
              <w:left w:w="90" w:type="dxa"/>
              <w:bottom w:w="90" w:type="dxa"/>
              <w:right w:w="90" w:type="dxa"/>
            </w:tcMar>
          </w:tcPr>
          <w:p>
            <w:pPr>
              <w:spacing w:after="60" w:before="40" w:line="252" w:lineRule="auto"/>
            </w:pPr>
            <w:r>
              <w:rPr>
                <w:sz w:val="19"/>
              </w:rPr>
              <w:t>Durée, préparation, dépendances, périodicité, échéance éventuelle, possibilité ou non de fractionner.</w:t>
            </w:r>
          </w:p>
        </w:tc>
      </w:tr>
      <w:tr>
        <w:trPr>
          <w:cantSplit/>
        </w:trPr>
        <w:tc>
          <w:tcPr>
            <w:tcW w:type="dxa" w:w="2409"/>
            <w:vAlign w:val="center"/>
            <w:tcMar>
              <w:top w:w="90" w:type="dxa"/>
              <w:left w:w="90" w:type="dxa"/>
              <w:bottom w:w="90" w:type="dxa"/>
              <w:right w:w="90" w:type="dxa"/>
            </w:tcMar>
          </w:tcPr>
          <w:p>
            <w:pPr>
              <w:spacing w:after="60" w:before="40" w:line="252" w:lineRule="auto"/>
            </w:pPr>
            <w:r>
              <w:rPr>
                <w:b/>
                <w:sz w:val="19"/>
              </w:rPr>
              <w:t>Personnes et moyens</w:t>
            </w:r>
          </w:p>
        </w:tc>
        <w:tc>
          <w:tcPr>
            <w:tcW w:type="dxa" w:w="7172"/>
            <w:vAlign w:val="center"/>
            <w:tcMar>
              <w:top w:w="90" w:type="dxa"/>
              <w:left w:w="90" w:type="dxa"/>
              <w:bottom w:w="90" w:type="dxa"/>
              <w:right w:w="90" w:type="dxa"/>
            </w:tcMar>
          </w:tcPr>
          <w:p>
            <w:pPr>
              <w:spacing w:after="60" w:before="40" w:line="252" w:lineRule="auto"/>
            </w:pPr>
            <w:r>
              <w:rPr>
                <w:sz w:val="19"/>
              </w:rPr>
              <w:t>Participants, disponibilité partagée autorisée, locaux ou matériel indispensables et délais de confirmation.</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Contraintes du domaine</w:t>
            </w:r>
          </w:p>
        </w:tc>
        <w:tc>
          <w:tcPr>
            <w:tcW w:type="dxa" w:w="7172"/>
            <w:shd w:fill="F4F6F6"/>
            <w:vAlign w:val="center"/>
            <w:tcMar>
              <w:top w:w="90" w:type="dxa"/>
              <w:left w:w="90" w:type="dxa"/>
              <w:bottom w:w="90" w:type="dxa"/>
              <w:right w:w="90" w:type="dxa"/>
            </w:tcMar>
          </w:tcPr>
          <w:p>
            <w:pPr>
              <w:spacing w:after="60" w:before="40" w:line="252" w:lineRule="auto"/>
            </w:pPr>
            <w:r>
              <w:rPr>
                <w:sz w:val="19"/>
              </w:rPr>
              <w:t>Tolérance, repos ou récupération nécessaires, ordre des étapes et conditions de sécurité. Ne pas les traiter comme facultatives.</w:t>
            </w:r>
          </w:p>
        </w:tc>
      </w:tr>
    </w:tbl>
    <w:p>
      <w:pPr>
        <w:spacing w:after="0"/>
      </w:pPr>
    </w:p>
    <w:p>
      <w:pPr>
        <w:pStyle w:val="Heading2"/>
      </w:pPr>
      <w:r>
        <w:t>Placement, validation, modification</w:t>
      </w:r>
    </w:p>
    <w:p>
      <w:r>
        <w:t>Le moteur propose des créneaux et explique seulement les conflits utiles. Après validation du plan, il peut créer les éléments du calendrier dans le périmètre autorisé. Un élément validé conserve son lien avec l’action du projet. Déplacer une séance actualise ce lien ; recalculer le plan ne doit pas créer un doublon.</w:t>
      </w:r>
    </w:p>
    <w:p>
      <w:r>
        <w:t>Les créneaux verrouillés et les modifications manuelles sont respectés. Une séance manquée ne produit pas automatiquement deux séances le lendemain. Une action déjà accomplie reste dans l’historique ; elle n’est pas effacée par un nouveau plan. Une pause interrompt les prochaines actions sans détruire le projet.</w:t>
      </w:r>
    </w:p>
    <w:p>
      <w:pPr>
        <w:pStyle w:val="Heading2"/>
      </w:pPr>
      <w:r>
        <w:t>Plusieurs projets, plusieurs personnes</w:t>
      </w:r>
    </w:p>
    <w:p>
      <w:r>
        <w:t>Le temps disponible est une ressource partagée. Deux projets ne peuvent pas réserver deux fois le même créneau. Signaler aussi un dépassement du budget global, même si chaque budget de projet pris isolément semble acceptable. Une priorité explicite permet de proposer un arbitrage, pas de le décider en silence.</w:t>
      </w:r>
    </w:p>
    <w:p>
      <w:r>
        <w:t>Pour les autres participants, n’utiliser que les disponibilités qu’ils ont autorisé à partager. Une proposition commune reste une proposition tant qu’elle n’est pas acceptée. Ne pas écrire dans leur calendrier sans droit ni révéler les intitulés d’événements privés.</w:t>
      </w:r>
    </w:p>
    <w:p>
      <w:pPr>
        <w:shd w:fill="EEF3F2"/>
        <w:keepLines/>
        <w:pBdr>
          <w:left w:val="single" w:sz="15" w:color="366C70" w:space="9"/>
        </w:pBdr>
        <w:spacing w:before="140" w:after="200"/>
        <w:ind w:left="91"/>
      </w:pPr>
      <w:r>
        <w:rPr>
          <w:b/>
        </w:rPr>
        <w:t>Absence de connexion.</w:t>
      </w:r>
      <w:r>
        <w:t xml:space="preserve">  Le projet reste utilisable avec des disponibilités déclarées. Une connexion calendrier non vérifiée est signalée comme telle ; elle n’est ni simulée ni présentée comme synchronisée.</w:t>
      </w:r>
    </w:p>
    <w:p>
      <w:r>
        <w:br w:type="page"/>
      </w:r>
    </w:p>
    <w:p>
      <w:pPr>
        <w:spacing w:after="120"/>
      </w:pPr>
      <w:r>
        <w:rPr>
          <w:color w:val="69767D"/>
          <w:sz w:val="16"/>
        </w:rPr>
        <w:t>QUESTIONNER PEU, CONSTRUIRE PROGRESSIVEMENT</w:t>
      </w:r>
    </w:p>
    <w:p>
      <w:pPr>
        <w:pStyle w:val="Heading1"/>
      </w:pPr>
      <w:r>
        <w:t>06  Un accompagnement transversal par IA</w:t>
      </w:r>
    </w:p>
    <w:p>
      <w:r>
        <w:t>L’accompagnement par IA peut servir tous les projets : préciser un objectif, proposer un plan, choisir un modèle, expliquer une étape ou suggérer une adaptation. Il ne devient ni une famille de contenu ni un coach conversationnel obligatoire. Le résultat utile est un projet outillé, pas seulement une discussion.</w:t>
      </w:r>
    </w:p>
    <w:p>
      <w:pPr>
        <w:pStyle w:val="Heading2"/>
      </w:pPr>
      <w:r>
        <w:t>Trois moments au démarrage</w:t>
      </w:r>
    </w:p>
    <w:p>
      <w:r>
        <w:rPr>
          <w:b/>
        </w:rPr>
        <w:t>Choisir l’intention.</w:t>
      </w:r>
      <w:r>
        <w:t xml:space="preserve"> Recherche directe, filtre de famille ou sélection d’objets/projets existants dans le Finder. Une phrase libre suffit. </w:t>
      </w:r>
      <w:r>
        <w:rPr>
          <w:b/>
        </w:rPr>
        <w:t>Régler l’implication.</w:t>
      </w:r>
      <w:r>
        <w:t xml:space="preserve"> Temps et rythme ; disponibilités en option. Poser seulement la question manquante indispensable. </w:t>
      </w:r>
      <w:r>
        <w:rPr>
          <w:b/>
        </w:rPr>
        <w:t>Voir puis lancer le plan.</w:t>
      </w:r>
      <w:r>
        <w:t xml:space="preserve"> Montrer les premières actions, les outils associés et l’effet sur le calendrier avant validation.</w:t>
      </w:r>
    </w:p>
    <w:p>
      <w:r>
        <w:t>Ces moments ne sont pas trois écrans obligatoires : ils peuvent s’enchaîner dans le même espace. Un expert peut aller directement aux outils. La personne qui demande un guidage reçoit une question à la fois, sans questionnaire initial exhaustif ni demandes répétées portant sur des informations déjà disponibles.</w:t>
      </w:r>
    </w:p>
    <w:p>
      <w:pPr>
        <w:pStyle w:val="Heading2"/>
      </w:pPr>
      <w:r>
        <w:t>Libre, assisté ou pas à pas</w:t>
      </w:r>
    </w:p>
    <w:p>
      <w:r>
        <w:t>Le mode de guidage se choisit dans les options natives de l’Assistant. Il est indépendant des deux curseurs : une personne peut vouloir peu de temps et beaucoup d’aide, ou disposer de temps tout en travaillant sans IA. Ne pas multiplier les réglages globaux si une préférence utilisateur existe déjà.</w:t>
      </w:r>
    </w:p>
    <w:p>
      <w:pPr>
        <w:pStyle w:val="Heading2"/>
      </w:pPr>
      <w:r>
        <w:t>Des questions qui changent réellement le plan</w:t>
      </w:r>
    </w:p>
    <w:p>
      <w:r>
        <w:t>Pour un titre musical : existe-t-il déjà une composition ou des prises ? Pour une tournée : dates imposées et participants connus ? Pour un roman : texte commencé ou idée initiale ? Pour le sommeil : quelle difficulté gêne le plus la personne actuellement ? Toute question doit déterminer une action, une contrainte ou un outil ; sinon, elle attend.</w:t>
      </w:r>
    </w:p>
    <w:p>
      <w:pPr>
        <w:pStyle w:val="Heading2"/>
      </w:pPr>
      <w:r>
        <w:t>Des espaces spécialisés assemblés, non inventés</w:t>
      </w:r>
    </w:p>
    <w:p>
      <w:r>
        <w:t>Le scénario choisit et organise les modules nécessaires. Une phase d’écriture fait apparaître l’outil texte ; une séance enregistrée utilise l’outil d’enregistrement ; le suivi ouvre les objets et outils correspondants. L’IA ne dessine pas arbitrairement une nouvelle interface pour chaque projet et n’invente ni option, ni API, ni connexion.</w:t>
      </w:r>
    </w:p>
    <w:p>
      <w:pPr>
        <w:shd w:fill="EEF3F2"/>
        <w:keepLines/>
        <w:pBdr>
          <w:left w:val="single" w:sz="15" w:color="366C70" w:space="9"/>
        </w:pBdr>
        <w:spacing w:before="140" w:after="200"/>
        <w:ind w:left="91"/>
      </w:pPr>
      <w:r>
        <w:rPr>
          <w:b/>
        </w:rPr>
        <w:t>Contrôle de la personne.</w:t>
      </w:r>
      <w:r>
        <w:t xml:space="preserve">  Un plan proposé est modifiable. Une adaptation importante du périmètre, du temps, de l’effort, des personnes ou de la diffusion nécessite une décision explicite. En cas d’indisponibilité de l’IA, conserver les outils, le plan et l’aide/recherche disponibles.</w:t>
      </w:r>
    </w:p>
    <w:p>
      <w:r>
        <w:br w:type="page"/>
      </w:r>
    </w:p>
    <w:p>
      <w:pPr>
        <w:spacing w:after="120"/>
      </w:pPr>
      <w:r>
        <w:rPr>
          <w:color w:val="69767D"/>
          <w:sz w:val="16"/>
        </w:rPr>
        <w:t>STRUCTURE FONCTIONNELLE, SANS NOUVELLE MAQUETTE</w:t>
      </w:r>
    </w:p>
    <w:p>
      <w:pPr>
        <w:pStyle w:val="Heading1"/>
      </w:pPr>
      <w:r>
        <w:t>07  Une interface composée d’outils réels</w:t>
      </w:r>
    </w:p>
    <w:p>
      <w:r>
        <w:t>Le projet se construit sur le canevas et les outils d’atome/eVe. Il ne faut pas ajouter un tableau de gestion, un fil social ou une succession de panneaux standards. Ce document décrit les relations fonctionnelles ; aucune capture de référence n’ayant été relue, il ne constitue pas une validation visuelle de l’interface.</w:t>
      </w:r>
    </w:p>
    <w:tbl>
      <w:tblPr>
        <w:tblW w:type="auto" w:w="0"/>
        <w:jc w:val="center"/>
        <w:tblLayout w:type="fixed"/>
        <w:tblLook w:firstColumn="1" w:firstRow="1" w:lastColumn="0" w:lastRow="0" w:noHBand="0" w:noVBand="1" w:val="04A0"/>
      </w:tblPr>
      <w:tblGrid>
        <w:gridCol w:w="2409"/>
        <w:gridCol w:w="7172"/>
      </w:tblGrid>
      <w:tr>
        <w:trPr>
          <w:tblHeader/>
          <w:cantSplit/>
        </w:trPr>
        <w:tc>
          <w:tcPr>
            <w:tcW w:type="dxa" w:w="2409"/>
            <w:shd w:fill="366C70"/>
            <w:vAlign w:val="center"/>
            <w:tcMar>
              <w:top w:w="90" w:type="dxa"/>
              <w:left w:w="90" w:type="dxa"/>
              <w:bottom w:w="90" w:type="dxa"/>
              <w:right w:w="90" w:type="dxa"/>
            </w:tcMar>
          </w:tcPr>
          <w:p>
            <w:pPr>
              <w:spacing w:after="60" w:before="40" w:line="252" w:lineRule="auto"/>
            </w:pPr>
            <w:r>
              <w:rPr>
                <w:b/>
                <w:color w:val="FFFFFF"/>
                <w:sz w:val="19"/>
              </w:rPr>
              <w:t>Élément</w:t>
            </w:r>
          </w:p>
        </w:tc>
        <w:tc>
          <w:tcPr>
            <w:tcW w:type="dxa" w:w="7172"/>
            <w:shd w:fill="366C70"/>
            <w:vAlign w:val="center"/>
            <w:tcMar>
              <w:top w:w="90" w:type="dxa"/>
              <w:left w:w="90" w:type="dxa"/>
              <w:bottom w:w="90" w:type="dxa"/>
              <w:right w:w="90" w:type="dxa"/>
            </w:tcMar>
          </w:tcPr>
          <w:p>
            <w:pPr>
              <w:spacing w:after="60" w:before="40" w:line="252" w:lineRule="auto"/>
            </w:pPr>
            <w:r>
              <w:rPr>
                <w:b/>
                <w:color w:val="FFFFFF"/>
                <w:sz w:val="19"/>
              </w:rPr>
              <w:t>Assemblage attendu</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Choix du projet</w:t>
            </w:r>
          </w:p>
        </w:tc>
        <w:tc>
          <w:tcPr>
            <w:tcW w:type="dxa" w:w="7172"/>
            <w:shd w:fill="F4F6F6"/>
            <w:vAlign w:val="center"/>
            <w:tcMar>
              <w:top w:w="90" w:type="dxa"/>
              <w:left w:w="90" w:type="dxa"/>
              <w:bottom w:w="90" w:type="dxa"/>
              <w:right w:w="90" w:type="dxa"/>
            </w:tcMar>
          </w:tcPr>
          <w:p>
            <w:pPr>
              <w:spacing w:after="60" w:before="40" w:line="252" w:lineRule="auto"/>
            </w:pPr>
            <w:r>
              <w:rPr>
                <w:sz w:val="19"/>
              </w:rPr>
              <w:t>Finder : recherche d’intentions, de modèles, d’objets et de projets existants ; famille comme filtre facultatif.</w:t>
            </w:r>
          </w:p>
        </w:tc>
      </w:tr>
      <w:tr>
        <w:trPr>
          <w:cantSplit/>
        </w:trPr>
        <w:tc>
          <w:tcPr>
            <w:tcW w:type="dxa" w:w="2409"/>
            <w:vAlign w:val="center"/>
            <w:tcMar>
              <w:top w:w="90" w:type="dxa"/>
              <w:left w:w="90" w:type="dxa"/>
              <w:bottom w:w="90" w:type="dxa"/>
              <w:right w:w="90" w:type="dxa"/>
            </w:tcMar>
          </w:tcPr>
          <w:p>
            <w:pPr>
              <w:spacing w:after="60" w:before="40" w:line="252" w:lineRule="auto"/>
            </w:pPr>
            <w:r>
              <w:rPr>
                <w:b/>
                <w:sz w:val="19"/>
              </w:rPr>
              <w:t>Implication</w:t>
            </w:r>
          </w:p>
        </w:tc>
        <w:tc>
          <w:tcPr>
            <w:tcW w:type="dxa" w:w="7172"/>
            <w:vAlign w:val="center"/>
            <w:tcMar>
              <w:top w:w="90" w:type="dxa"/>
              <w:left w:w="90" w:type="dxa"/>
              <w:bottom w:w="90" w:type="dxa"/>
              <w:right w:w="90" w:type="dxa"/>
            </w:tcMar>
          </w:tcPr>
          <w:p>
            <w:pPr>
              <w:spacing w:after="60" w:before="40" w:line="252" w:lineRule="auto"/>
            </w:pPr>
            <w:r>
              <w:rPr>
                <w:sz w:val="19"/>
              </w:rPr>
              <w:t>Deux composants curseurs natifs ; leurs valeurs et options restent dans l’espace de réglage du projet.</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Plan et prochaine action</w:t>
            </w:r>
          </w:p>
        </w:tc>
        <w:tc>
          <w:tcPr>
            <w:tcW w:type="dxa" w:w="7172"/>
            <w:shd w:fill="F4F6F6"/>
            <w:vAlign w:val="center"/>
            <w:tcMar>
              <w:top w:w="90" w:type="dxa"/>
              <w:left w:w="90" w:type="dxa"/>
              <w:bottom w:w="90" w:type="dxa"/>
              <w:right w:w="90" w:type="dxa"/>
            </w:tcMar>
          </w:tcPr>
          <w:p>
            <w:pPr>
              <w:spacing w:after="60" w:before="40" w:line="252" w:lineRule="auto"/>
            </w:pPr>
            <w:r>
              <w:rPr>
                <w:sz w:val="19"/>
              </w:rPr>
              <w:t>Objets reliés aux outils correspondants. La personne peut commencer l’action, pas seulement lire son intitulé.</w:t>
            </w:r>
          </w:p>
        </w:tc>
      </w:tr>
      <w:tr>
        <w:trPr>
          <w:cantSplit/>
        </w:trPr>
        <w:tc>
          <w:tcPr>
            <w:tcW w:type="dxa" w:w="2409"/>
            <w:vAlign w:val="center"/>
            <w:tcMar>
              <w:top w:w="90" w:type="dxa"/>
              <w:left w:w="90" w:type="dxa"/>
              <w:bottom w:w="90" w:type="dxa"/>
              <w:right w:w="90" w:type="dxa"/>
            </w:tcMar>
          </w:tcPr>
          <w:p>
            <w:pPr>
              <w:spacing w:after="60" w:before="40" w:line="252" w:lineRule="auto"/>
            </w:pPr>
            <w:r>
              <w:rPr>
                <w:b/>
                <w:sz w:val="19"/>
              </w:rPr>
              <w:t>Composition d’outils et de briques</w:t>
            </w:r>
          </w:p>
        </w:tc>
        <w:tc>
          <w:tcPr>
            <w:tcW w:type="dxa" w:w="7172"/>
            <w:vAlign w:val="center"/>
            <w:tcMar>
              <w:top w:w="90" w:type="dxa"/>
              <w:left w:w="90" w:type="dxa"/>
              <w:bottom w:w="90" w:type="dxa"/>
              <w:right w:w="90" w:type="dxa"/>
            </w:tcMar>
          </w:tcPr>
          <w:p>
            <w:pPr>
              <w:spacing w:after="60" w:before="40" w:line="252" w:lineRule="auto"/>
            </w:pPr>
            <w:r>
              <w:rPr>
                <w:sz w:val="19"/>
              </w:rPr>
              <w:t>Sélection dans le Finder, assemblage et ordre utile. Les briques donnent accès aux outils réels et à leurs options natives, dessous ou dans leur espace habituel.</w:t>
            </w:r>
          </w:p>
        </w:tc>
      </w:tr>
      <w:tr>
        <w:trPr>
          <w:cantSplit/>
        </w:trPr>
        <w:tc>
          <w:tcPr>
            <w:tcW w:type="dxa" w:w="2409"/>
            <w:shd w:fill="F4F6F6"/>
            <w:vAlign w:val="center"/>
            <w:tcMar>
              <w:top w:w="90" w:type="dxa"/>
              <w:left w:w="90" w:type="dxa"/>
              <w:bottom w:w="90" w:type="dxa"/>
              <w:right w:w="90" w:type="dxa"/>
            </w:tcMar>
          </w:tcPr>
          <w:p>
            <w:pPr>
              <w:spacing w:after="60" w:before="40" w:line="252" w:lineRule="auto"/>
            </w:pPr>
            <w:r>
              <w:rPr>
                <w:b/>
                <w:sz w:val="19"/>
              </w:rPr>
              <w:t>Calendrier et suivi</w:t>
            </w:r>
          </w:p>
        </w:tc>
        <w:tc>
          <w:tcPr>
            <w:tcW w:type="dxa" w:w="7172"/>
            <w:shd w:fill="F4F6F6"/>
            <w:vAlign w:val="center"/>
            <w:tcMar>
              <w:top w:w="90" w:type="dxa"/>
              <w:left w:w="90" w:type="dxa"/>
              <w:bottom w:w="90" w:type="dxa"/>
              <w:right w:w="90" w:type="dxa"/>
            </w:tcMar>
          </w:tcPr>
          <w:p>
            <w:pPr>
              <w:spacing w:after="60" w:before="40" w:line="252" w:lineRule="auto"/>
            </w:pPr>
            <w:r>
              <w:rPr>
                <w:sz w:val="19"/>
              </w:rPr>
              <w:t>Les outils correspondants partagent les mêmes actions et objets du projet, sans copie indépendante des données.</w:t>
            </w:r>
          </w:p>
        </w:tc>
      </w:tr>
      <w:tr>
        <w:trPr>
          <w:cantSplit/>
        </w:trPr>
        <w:tc>
          <w:tcPr>
            <w:tcW w:type="dxa" w:w="2409"/>
            <w:vAlign w:val="center"/>
            <w:tcMar>
              <w:top w:w="90" w:type="dxa"/>
              <w:left w:w="90" w:type="dxa"/>
              <w:bottom w:w="90" w:type="dxa"/>
              <w:right w:w="90" w:type="dxa"/>
            </w:tcMar>
          </w:tcPr>
          <w:p>
            <w:pPr>
              <w:spacing w:after="60" w:before="40" w:line="252" w:lineRule="auto"/>
            </w:pPr>
            <w:r>
              <w:rPr>
                <w:b/>
                <w:sz w:val="19"/>
              </w:rPr>
              <w:t>Assistant</w:t>
            </w:r>
          </w:p>
        </w:tc>
        <w:tc>
          <w:tcPr>
            <w:tcW w:type="dxa" w:w="7172"/>
            <w:vAlign w:val="center"/>
            <w:tcMar>
              <w:top w:w="90" w:type="dxa"/>
              <w:left w:w="90" w:type="dxa"/>
              <w:bottom w:w="90" w:type="dxa"/>
              <w:right w:w="90" w:type="dxa"/>
            </w:tcMar>
          </w:tcPr>
          <w:p>
            <w:pPr>
              <w:spacing w:after="60" w:before="40" w:line="252" w:lineRule="auto"/>
            </w:pPr>
            <w:r>
              <w:rPr>
                <w:sz w:val="19"/>
              </w:rPr>
              <w:t>Position et comportements existants conservés ; guidage accessible sans recouvrir le projet de fenêtres flottantes.</w:t>
            </w:r>
          </w:p>
        </w:tc>
      </w:tr>
    </w:tbl>
    <w:p>
      <w:pPr>
        <w:spacing w:after="0"/>
      </w:pPr>
    </w:p>
    <w:p>
      <w:pPr>
        <w:pStyle w:val="Heading2"/>
      </w:pPr>
      <w:r>
        <w:t>Respect des composants existants</w:t>
      </w:r>
    </w:p>
    <w:p>
      <w:r>
        <w:t>Conserver proportions, teintes, icônes, tailles d’outils et modes Naturel/Liste/Matrice. Les réglages déjà présents dans le compte utilisateur restent la référence ; ne pas en créer une seconde version. Les accordéons et listes du projet réutilisent les composants unifiés et leur sens d’ouverture configuré.</w:t>
      </w:r>
    </w:p>
    <w:p>
      <w:r>
        <w:t>Les options restent attachées à l’outil auquel elles appartiennent. Un carré avec le nom « enregistrer » ne remplace pas l’outil d’enregistrement. Une icône décorative ne remplace pas un outil réellement sélectionnable, réglable et utilisable.</w:t>
      </w:r>
    </w:p>
    <w:p>
      <w:pPr>
        <w:pStyle w:val="Heading2"/>
      </w:pPr>
      <w:r>
        <w:t>Ne pas confondre familles et activités existantes</w:t>
      </w:r>
    </w:p>
    <w:p>
      <w:r>
        <w:t xml:space="preserve">Dans la révision eVe consultée, le modèle d’activités par défaut contient les clés </w:t>
      </w:r>
      <w:r>
        <w:rPr>
          <w:b/>
        </w:rPr>
        <w:t>dtp, video, daw, text</w:t>
      </w:r>
      <w:r>
        <w:t xml:space="preserve">. Le module d’activités prévoit aussi une entrée </w:t>
      </w:r>
      <w:r>
        <w:rPr>
          <w:b/>
        </w:rPr>
        <w:t>Automatique</w:t>
      </w:r>
      <w:r>
        <w:t xml:space="preserve"> et la sélection d’activités existantes. Ces éléments ne doivent pas être remplacés par les cinq familles proposées. [R1–R2]</w:t>
      </w:r>
    </w:p>
    <w:p>
      <w:pPr>
        <w:pStyle w:val="Caption"/>
      </w:pPr>
      <w:r>
        <w:t>L’association intention → scénario → activités → outils est un besoin de ce concept. Son implémentation reste à relier aux composants réels. La présence de code n’est pas une preuve que tout le parcours fonctionne déjà ; aucun test d’interface n’a été effectué ici.</w:t>
      </w:r>
    </w:p>
    <w:p>
      <w:r>
        <w:br w:type="page"/>
      </w:r>
    </w:p>
    <w:p>
      <w:pPr>
        <w:spacing w:after="120"/>
      </w:pPr>
      <w:r>
        <w:rPr>
          <w:color w:val="69767D"/>
          <w:sz w:val="16"/>
        </w:rPr>
        <w:t>UN SOCLE DE DOMAINE, PAS UN PROTOCOLE UNIQUE</w:t>
      </w:r>
    </w:p>
    <w:p>
      <w:pPr>
        <w:pStyle w:val="Heading1"/>
      </w:pPr>
      <w:r>
        <w:t>08  Les briques transversales de santé</w:t>
      </w:r>
    </w:p>
    <w:p>
      <w:r>
        <w:t>Sommeil est le premier exemple, pas une application isolée à dupliquer ensuite. Les moyens de programme, calendrier, journal, ressenti, observation et adaptation servent aux autres projets de santé. La réutilisation porte aussi sur les besoins eux-mêmes : sommeil, alimentation, relaxation… Ces briques de niveau inférieur au projet se composent selon les règles précisées en 08.1 et 08.2.</w:t>
      </w:r>
    </w:p>
    <w:p>
      <w:pPr>
        <w:pStyle w:val="Heading2"/>
      </w:pPr>
      <w:r>
        <w:t>Briques à relier</w:t>
      </w:r>
    </w:p>
    <w:p>
      <w:r>
        <w:rPr>
          <w:b/>
        </w:rPr>
        <w:t>Objectif et programme :</w:t>
      </w:r>
      <w:r>
        <w:t xml:space="preserve"> besoin exprimé simplement, actions limitées et évaluables. </w:t>
      </w:r>
      <w:r>
        <w:rPr>
          <w:b/>
        </w:rPr>
        <w:t>Calendrier :</w:t>
      </w:r>
      <w:r>
        <w:t xml:space="preserve"> séances et rappels adaptables. </w:t>
      </w:r>
      <w:r>
        <w:rPr>
          <w:b/>
        </w:rPr>
        <w:t>Journal :</w:t>
      </w:r>
      <w:r>
        <w:t xml:space="preserve"> notes, texte, audio ou autres médias selon les outils réellement disponibles. </w:t>
      </w:r>
      <w:r>
        <w:rPr>
          <w:b/>
        </w:rPr>
        <w:t>Moniteur :</w:t>
      </w:r>
      <w:r>
        <w:t xml:space="preserve"> rassemblement d’observations, de ressentis, d’actions réalisées et de contexte, sans mélanger leur origine. </w:t>
      </w:r>
      <w:r>
        <w:rPr>
          <w:b/>
        </w:rPr>
        <w:t>Évaluations :</w:t>
      </w:r>
      <w:r>
        <w:t xml:space="preserve"> retour sur utilité, tolérance et faisabilité. </w:t>
      </w:r>
      <w:r>
        <w:rPr>
          <w:b/>
        </w:rPr>
        <w:t>Connaissances et contacts :</w:t>
      </w:r>
      <w:r>
        <w:t xml:space="preserve"> ressources et professionnels pertinents lorsque la personne en a besoin.</w:t>
      </w:r>
    </w:p>
    <w:p>
      <w:r>
        <w:t>Nutrition, mouvement, relaxation et relations peuvent être mobilisés dans un projet sommeil. Ils apparaissent comme outils ou sous-objectifs liés lorsque les observations le justifient ; ils ne deviennent pas dix programmes simultanés imposés à l’utilisateur.</w:t>
      </w:r>
    </w:p>
    <w:p>
      <w:pPr>
        <w:pStyle w:val="Heading2"/>
      </w:pPr>
      <w:r>
        <w:t>Quatre distinctions obligatoires</w:t>
      </w:r>
    </w:p>
    <w:p>
      <w:r>
        <w:rPr>
          <w:b/>
        </w:rPr>
        <w:t>Déclaration et mesure :</w:t>
      </w:r>
      <w:r>
        <w:t xml:space="preserve"> conserver la source, la date et le contexte. </w:t>
      </w:r>
      <w:r>
        <w:rPr>
          <w:b/>
        </w:rPr>
        <w:t>Fait et hypothèse :</w:t>
      </w:r>
      <w:r>
        <w:t xml:space="preserve"> indiquer clairement ce qui est observé et ce qui est seulement proposé comme explication. </w:t>
      </w:r>
      <w:r>
        <w:rPr>
          <w:b/>
        </w:rPr>
        <w:t>Réalisation et bénéfice :</w:t>
      </w:r>
      <w:r>
        <w:t xml:space="preserve"> une action effectuée n’est pas une preuve de résultat. </w:t>
      </w:r>
      <w:r>
        <w:rPr>
          <w:b/>
        </w:rPr>
        <w:t>Absence de donnée et résultat négatif :</w:t>
      </w:r>
      <w:r>
        <w:t xml:space="preserve"> ne rien saisir ne signifie ni échec ni aggravation.</w:t>
      </w:r>
    </w:p>
    <w:p>
      <w:pPr>
        <w:pStyle w:val="Heading2"/>
      </w:pPr>
      <w:r>
        <w:t>Effort choisi et adaptations réversibles</w:t>
      </w:r>
    </w:p>
    <w:p>
      <w:r>
        <w:t>La personne définit ce qu’elle peut et veut supporter. Le programme doit pouvoir devenir plus léger, suspendre une action ou revenir à une version antérieure. Le suivi fait partie du budget ; le nombre de questions et de rappels diminue lorsque leur utilité n’est plus démontrée. Le système n’applique pas un rattrapage punitif.</w:t>
      </w:r>
    </w:p>
    <w:p>
      <w:pPr>
        <w:pStyle w:val="Heading2"/>
      </w:pPr>
      <w:r>
        <w:t>Garde-fous du produit</w:t>
      </w:r>
    </w:p>
    <w:p>
      <w:r>
        <w:t>Ne pas transformer le curseur de rythme en promesse de guérison, en diagnostic, en dose ou en intensification automatique d’une pratique. Une situation nécessitant un avis professionnel sort du coaching autonome. Les règles de sécurité du domaine doivent être validées séparément ; ce document n’est pas un protocole médical.</w:t>
      </w:r>
    </w:p>
    <w:p>
      <w:pPr>
        <w:shd w:fill="EEF3F2"/>
        <w:keepLines/>
        <w:pBdr>
          <w:left w:val="single" w:sz="15" w:color="366C70" w:space="9"/>
        </w:pBdr>
        <w:spacing w:before="140" w:after="200"/>
        <w:ind w:left="91"/>
      </w:pPr>
      <w:r>
        <w:rPr>
          <w:b/>
        </w:rPr>
        <w:t>Vie privée.</w:t>
      </w:r>
      <w:r>
        <w:t xml:space="preserve">  Les données de santé restent privées par défaut. Un partage avec un proche, un professionnel ou un réseau demande un choix explicite des données, du destinataire et de la portée. Une publication ne reprend jamais automatiquement le journal de santé.</w:t>
      </w:r>
    </w:p>
    <w:p>
      <w:r>
        <w:br w:type="page"/>
      </w:r>
    </w:p>
    <w:p>
      <w:pPr>
        <w:spacing w:after="120"/>
      </w:pPr>
      <w:r>
        <w:rPr>
          <w:color w:val="69767D"/>
          <w:sz w:val="16"/>
        </w:rPr>
        <w:t>BRIQUES COMPOSABLES  /  RÈGLE COMMUNE À TOUS LES DOMAINES</w:t>
      </w:r>
    </w:p>
    <w:p>
      <w:pPr>
        <w:pStyle w:val="Heading1"/>
      </w:pPr>
      <w:r>
        <w:t>08.1  Des briques sous le niveau du projet</w:t>
      </w:r>
    </w:p>
    <w:p>
      <w:r>
        <w:t>Une brique porte une fonction ou un besoin réutilisable. Elle peut être simple ou assembler des briques plus fines, avec les outils, réglages et observations utiles. Elle doit être mobilisable pendant la création du projet comme pendant sa mise en œuvre, sans recopier un scénario complet ni créer une application supplémentaire.</w:t>
      </w:r>
    </w:p>
    <w:p>
      <w:pPr>
        <w:pStyle w:val="Heading2"/>
      </w:pPr>
      <w:r>
        <w:t>atome, molécule ou tool : décision laissée ouverte</w:t>
      </w:r>
    </w:p>
    <w:p>
      <w:r>
        <w:t>« Brique » et « module » sont ici des termes fonctionnels, pas de nouveaux types techniques. Leur réalisation en atomes, molécules ou tools reste à trancher après examen de l’architecture existante. Une composition peut réunir plusieurs de ces éléments ; ne pas imposer un type unique ni inventer une nouvelle API pour nommer le concept.</w:t>
      </w:r>
    </w:p>
    <w:p>
      <w:pPr>
        <w:pStyle w:val="Heading2"/>
      </w:pPr>
      <w:r>
        <w:t>Exemple : composer puis réutiliser Sommeil</w:t>
      </w:r>
    </w:p>
    <w:p>
      <w:r>
        <w:rPr>
          <w:b/>
        </w:rPr>
        <w:t>Mieux dormir →</w:t>
      </w:r>
      <w:r>
        <w:t xml:space="preserve"> brique Sommeil → méditation ou relaxation, alimentation, régularité des horaires, et autres éléments utiles au contexte. Ces briques peuvent elles-mêmes être composées et réutilisées séparément. Elles ne sont pas toutes activées d’office : leur présence dépend du besoin, des règles validées et de l’accord de la personne.</w:t>
      </w:r>
    </w:p>
    <w:p>
      <w:r>
        <w:rPr>
          <w:b/>
        </w:rPr>
        <w:t>Perdre du poids →</w:t>
      </w:r>
      <w:r>
        <w:t xml:space="preserve"> briques pertinentes pour cet objectif, dont Sommeil si nécessaire. Il s’agit de réutiliser la même définition de brique, pas de fabriquer une seconde version du sommeil réservée à la perte de poids. On n’importe ni tout le programme ni une charge supplémentaire sans vérifier le budget et l’existant.</w:t>
      </w:r>
    </w:p>
    <w:p>
      <w:pPr>
        <w:pStyle w:val="Heading2"/>
      </w:pPr>
      <w:r>
        <w:t>Un accès commun, pas un catalogue par scénario</w:t>
      </w:r>
    </w:p>
    <w:p>
      <w:r>
        <w:t>Les briques doivent être recherchables et sélectionnables via le Finder et les mécanismes existants, puis assemblées, remplacées ou retirées dans le projet. L’Assistant peut proposer les mêmes éléments. Les familles facilitent leur découverte mais ne les enferment pas dans un domaine. Les droits et prérequis continuent de s’appliquer.</w:t>
      </w:r>
    </w:p>
    <w:p>
      <w:r>
        <w:t>L’assemblage expose les outils réellement disponibles et leurs options natives. Une brique ne doit pas être réduite à une étiquette décorative. Lorsqu’un composant manque, le besoin est signalé ; son fonctionnement n’est pas simulé.</w:t>
      </w:r>
    </w:p>
    <w:p>
      <w:pPr>
        <w:pStyle w:val="Heading2"/>
      </w:pPr>
      <w:r>
        <w:t>Le même principe hors de la santé</w:t>
      </w:r>
    </w:p>
    <w:p>
      <w:r>
        <w:t>Enregistrer une prise peut servir à créer un titre, apprendre à chanter ou préparer un clip. Planifier une séance peut servir à ces usages comme au suivi du sommeil. On réutilise la fonction et les composants ; les médias, les observations et les données privées ne sont pas partagés automatiquement.</w:t>
      </w:r>
    </w:p>
    <w:p>
      <w:pPr>
        <w:pStyle w:val="Caption"/>
      </w:pPr>
      <w:r>
        <w:t>Ces exemples décrivent une composition fonctionnelle, pas un protocole médical ni des composants déclarés déjà disponibles.</w:t>
      </w:r>
    </w:p>
    <w:p>
      <w:r>
        <w:br w:type="page"/>
      </w:r>
    </w:p>
    <w:p>
      <w:pPr>
        <w:spacing w:after="120"/>
      </w:pPr>
      <w:r>
        <w:rPr>
          <w:color w:val="69767D"/>
          <w:sz w:val="16"/>
        </w:rPr>
        <w:t>RÉUTILISATION ET PARTAGE  /  COHÉRENCE ENTRE PROJETS</w:t>
      </w:r>
    </w:p>
    <w:p>
      <w:pPr>
        <w:pStyle w:val="Heading1"/>
      </w:pPr>
      <w:r>
        <w:t>08.2  Partager sans confondre les projets</w:t>
      </w:r>
    </w:p>
    <w:p>
      <w:pPr>
        <w:pStyle w:val="Heading2"/>
      </w:pPr>
      <w:r>
        <w:t>Séparer définition, utilisation et rattachement</w:t>
      </w:r>
    </w:p>
    <w:p>
      <w:r>
        <w:rPr>
          <w:b/>
        </w:rPr>
        <w:t>Définition réutilisable :</w:t>
      </w:r>
      <w:r>
        <w:t xml:space="preserve"> composition et comportement de référence de la brique. Utilisation concrète : brique paramétrée pour une personne ou un contexte, avec ses actions et son suivi. Rattachement : lien entre cette utilisation et un ou plusieurs projets. Cette distinction est fonctionnelle ; elle ne prescrit pas un modèle de stockage.</w:t>
      </w:r>
    </w:p>
    <w:p>
      <w:r>
        <w:t>Réutiliser la définition évite de dupliquer la logique. Cela ne décide pas, à soi seul, de partager les réglages ou les données. Deux projets peuvent avoir besoin d’utilisations indépendantes ; un même suivi Sommeil peut aussi servir aux deux, si ce partage est choisi.</w:t>
      </w:r>
    </w:p>
    <w:p>
      <w:pPr>
        <w:pStyle w:val="Heading2"/>
      </w:pPr>
      <w:r>
        <w:t>Un partage explicite, jamais une fusion silencieuse</w:t>
      </w:r>
    </w:p>
    <w:p>
      <w:r>
        <w:t>La politique de choix entre utilisation indépendante et utilisation partagée reste à trancher. Le rattachement doit être explicite : quels réglages, actions et observations sont communs, pour quels projets et avec quels droits ? La possibilité de trouver une brique n’autorise pas à lire les données d’un autre projet ou d’une autre personne.</w:t>
      </w:r>
    </w:p>
    <w:p>
      <w:r>
        <w:t>Modifier un réglage commun doit rendre visibles les projets concernés et demander la validation prévue par leurs droits. Une mise à jour de la définition ne modifie pas silencieusement un programme en cours. Retirer un rattachement ne supprime ni l’historique ni la brique encore utilisée ailleurs.</w:t>
      </w:r>
    </w:p>
    <w:p>
      <w:pPr>
        <w:pStyle w:val="Heading2"/>
      </w:pPr>
      <w:r>
        <w:t>Des contraintes compatibles, un seul temps réel</w:t>
      </w:r>
    </w:p>
    <w:p>
      <w:r>
        <w:t>Si deux projets imposent des réglages incompatibles à une brique partagée, le système signale le conflit et propose un arbitrage. La dernière modification ne doit pas l’emporter sans décision. Les contraintes de sécurité et de tolérance demeurent applicables à l’ensemble, pas seulement à chaque projet pris isolément.</w:t>
      </w:r>
    </w:p>
    <w:p>
      <w:r>
        <w:t>Une même séance de méditation de 10 minutes, reliée à deux projets, reste une seule action, un seul créneau et 10 minutes de temps global. Le plan indique sa contribution aux deux objectifs sans inventer 20 minutes disponibles ou accomplies. Les bilans restent propres aux objectifs : action commune ne signifie pas bénéfice démontré pour chacun.</w:t>
      </w:r>
    </w:p>
    <w:p>
      <w:pPr>
        <w:pStyle w:val="Heading2"/>
      </w:pPr>
      <w:r>
        <w:t>Une composition maîtrisée</w:t>
      </w:r>
    </w:p>
    <w:p>
      <w:r>
        <w:t>Distinguer une association pertinente d’une dépendance obligatoire. Sommeil peut mobiliser Alimentation sans que celle-ci recrée automatiquement Sommeil en boucle. Les dépendances d’exécution circulaires doivent être détectées avant lancement. Ajouter une brique ne déclenche pas en cascade toutes les briques reliées.</w:t>
      </w:r>
    </w:p>
    <w:p>
      <w:r>
        <w:t>Les briques utilisent le budget et les limites du projet ; elles n’ajoutent pas chacune leurs propres curseurs obligatoires. En cas de partage, leurs actions sont aussi prises en compte dans l’arbitrage global entre projets. Les choix de partage restent accessibles dans les mécanismes natifs, sans nouvel écran de gestion imposé.</w:t>
      </w:r>
    </w:p>
    <w:p>
      <w:r>
        <w:br w:type="page"/>
      </w:r>
    </w:p>
    <w:p>
      <w:pPr>
        <w:spacing w:after="120"/>
      </w:pPr>
      <w:r>
        <w:rPr>
          <w:color w:val="69767D"/>
          <w:sz w:val="16"/>
        </w:rPr>
        <w:t>PREMIER PARCOURS PRODUIT — DÉCLINAISON DE TRAVAIL</w:t>
      </w:r>
    </w:p>
    <w:p>
      <w:pPr>
        <w:pStyle w:val="Heading1"/>
      </w:pPr>
      <w:r>
        <w:t>09  Sommeil : entrer et construire le plan</w:t>
      </w:r>
    </w:p>
    <w:p>
      <w:pPr>
        <w:shd w:fill="EEF3F2"/>
        <w:keepLines/>
        <w:pBdr>
          <w:left w:val="single" w:sz="15" w:color="366C70" w:space="9"/>
        </w:pBdr>
        <w:spacing w:before="140" w:after="200"/>
        <w:ind w:left="91"/>
      </w:pPr>
      <w:r>
        <w:rPr>
          <w:b/>
        </w:rPr>
        <w:t>Statut de cet exemple.</w:t>
      </w:r>
      <w:r>
        <w:t xml:space="preserve">  Le déroulé ci-dessous est rédigé pour éprouver le nouveau concept à partir des décisions disponibles. Il ne reproduit pas le texte ni les visuels de Scenario_Sommeil.docx, qui restent à intégrer séparément.</w:t>
      </w:r>
    </w:p>
    <w:p>
      <w:pPr>
        <w:pStyle w:val="Heading2"/>
      </w:pPr>
      <w:r>
        <w:t>1. Choisir « Mieux dormir »</w:t>
      </w:r>
    </w:p>
    <w:p>
      <w:r>
        <w:t>La personne recherche sommeil ou ouvre la famille Santé et bien-être. Elle choisit Mieux dormir parmi les autres intentions de santé. Le projet s’ouvre directement ; il n’est pas nécessaire de choisir d’abord un outil, une maladie ou une longue série de sous-objectifs.</w:t>
      </w:r>
    </w:p>
    <w:p>
      <w:r>
        <w:t>Le canevas présente le projet et les premières briques nécessaires, non un écran de conversation occupant toute l’application. Le Finder reste disponible pour les objets et outils ; l’Assistant peut aider sans se substituer au projet.</w:t>
      </w:r>
    </w:p>
    <w:p>
      <w:pPr>
        <w:pStyle w:val="Heading2"/>
      </w:pPr>
      <w:r>
        <w:t>2. Définir l’implication</w:t>
      </w:r>
    </w:p>
    <w:p>
      <w:r>
        <w:t xml:space="preserve">Pour l’exemple fonctionnel uniquement, la personne choisit </w:t>
      </w:r>
      <w:r>
        <w:rPr>
          <w:b/>
        </w:rPr>
        <w:t>10 minutes par jour</w:t>
      </w:r>
      <w:r>
        <w:t xml:space="preserve">, sur </w:t>
      </w:r>
      <w:r>
        <w:rPr>
          <w:b/>
        </w:rPr>
        <w:t>7 jours</w:t>
      </w:r>
      <w:r>
        <w:t xml:space="preserve">, soit </w:t>
      </w:r>
      <w:r>
        <w:rPr>
          <w:b/>
        </w:rPr>
        <w:t>70 minutes par semaine</w:t>
      </w:r>
      <w:r>
        <w:t xml:space="preserve">, puis un rythme </w:t>
      </w:r>
      <w:r>
        <w:rPr>
          <w:b/>
        </w:rPr>
        <w:t>régulier</w:t>
      </w:r>
      <w:r>
        <w:t>. Elle indique éventuellement des moments disponibles autour de sa journée. La durée de sommeil elle-même ne se confond pas avec le temps actif consacré au programme.</w:t>
      </w:r>
    </w:p>
    <w:p>
      <w:r>
        <w:t>Une limite de tolérance est ajoutée seulement si elle est nécessaire. Les temps de préparation, de journal et de bilan sont inclus dans les 10 minutes. Les créneaux proposés doivent être comparés aux engagements du calendrier ; ce scénario ne présume aucune connexion déjà autorisée.</w:t>
      </w:r>
    </w:p>
    <w:p>
      <w:pPr>
        <w:pStyle w:val="Heading2"/>
      </w:pPr>
      <w:r>
        <w:t>3. Préciser une seule difficulté utile</w:t>
      </w:r>
    </w:p>
    <w:p>
      <w:r>
        <w:t>Si le contexte ne suffit pas, une question identifie la gêne principale : s’endormir, se rendormir, horaires irréguliers ou sensation de récupération insuffisante, par exemple. Ces réponses guident l’observation et l’assemblage des outils ; elles ne constituent pas un diagnostic. Les détails viennent ensuite si les observations les rendent utiles.</w:t>
      </w:r>
    </w:p>
    <w:p>
      <w:pPr>
        <w:pStyle w:val="Heading2"/>
      </w:pPr>
      <w:r>
        <w:t>4. Montrer puis valider un premier plan léger</w:t>
      </w:r>
    </w:p>
    <w:p>
      <w:r>
        <w:t>Le plan contient une courte phase d’observation, un journal facultatif simplifié, un premier point de retour et les outils correspondants. Une mesure issue d’un appareil n’est ajoutée qu’avec consentement et connexion vérifiée. Sans appareil, le projet continue à partir du ressenti déclaré.</w:t>
      </w:r>
    </w:p>
    <w:p>
      <w:r>
        <w:t>Avant le lancement, l’aperçu montre ce qui est demandé, le temps correspondant et les éléments qui seront placés dans le calendrier. La personne peut modifier le plan. Une fois accepté, le calendrier et le projet partagent les mêmes actions, sans ressaisie.</w:t>
      </w:r>
    </w:p>
    <w:p>
      <w:r>
        <w:br w:type="page"/>
      </w:r>
    </w:p>
    <w:p>
      <w:pPr>
        <w:spacing w:after="120"/>
      </w:pPr>
      <w:r>
        <w:rPr>
          <w:color w:val="69767D"/>
          <w:sz w:val="16"/>
        </w:rPr>
        <w:t>EXEMPLE DE FONCTIONNEMENT ET CRITÈRES DE RETOUR</w:t>
      </w:r>
    </w:p>
    <w:p>
      <w:pPr>
        <w:pStyle w:val="Heading1"/>
      </w:pPr>
      <w:r>
        <w:t>10  Sommeil : observer, agir, ajuster</w:t>
      </w:r>
    </w:p>
    <w:p>
      <w:pPr>
        <w:pStyle w:val="Heading2"/>
      </w:pPr>
      <w:r>
        <w:t>5. Observer sans saturer l’utilisateur</w:t>
      </w:r>
    </w:p>
    <w:p>
      <w:r>
        <w:t>Un retour bref peut associer ressenti de récupération, difficulté principale et contexte libre. Les outils de journal ou de saisie déjà disponibles sont réutilisés. Le Moniteur distingue les informations déclarées des données d’un appareil, garde leurs dates et montre les tendances utiles sans produire un score global arbitraire.</w:t>
      </w:r>
    </w:p>
    <w:p>
      <w:pPr>
        <w:pStyle w:val="Heading2"/>
      </w:pPr>
      <w:r>
        <w:t>6. Choisir une action et conserver une référence</w:t>
      </w:r>
    </w:p>
    <w:p>
      <w:r>
        <w:t>Lorsque le contexte le permet, proposer une seule modification clairement identifiable, choisie avec la personne. Par exemple, elle peut retenir une courte activité de relaxation disponible dans le catalogue. Cette proposition illustre l’assemblage d’outils, pas une prescription ni une garantie d’efficacité. Un ajustement de nutrition ou de mouvement n’est ajouté que s’il est pertinent et accepté.</w:t>
      </w:r>
    </w:p>
    <w:p>
      <w:r>
        <w:t>Le scénario conserve l’état antérieur et le motif du changement. Éviter plusieurs changements simultanés qui empêcheraient de comprendre ce qui a été réalisé. La durée d’observation et la pertinence d’une action doivent provenir des règles du scénario validé, pas d’une durée clinique inventée ici.</w:t>
      </w:r>
    </w:p>
    <w:tbl>
      <w:tblPr>
        <w:tblW w:type="auto" w:w="0"/>
        <w:jc w:val="center"/>
        <w:tblLayout w:type="fixed"/>
        <w:tblLook w:firstColumn="1" w:firstRow="1" w:lastColumn="0" w:lastRow="0" w:noHBand="0" w:noVBand="1" w:val="04A0"/>
      </w:tblPr>
      <w:tblGrid>
        <w:gridCol w:w="6576"/>
        <w:gridCol w:w="3005"/>
      </w:tblGrid>
      <w:tr>
        <w:trPr>
          <w:tblHeader/>
          <w:cantSplit/>
        </w:trPr>
        <w:tc>
          <w:tcPr>
            <w:tcW w:type="dxa" w:w="6576"/>
            <w:shd w:fill="366C70"/>
            <w:vAlign w:val="center"/>
            <w:tcMar>
              <w:top w:w="90" w:type="dxa"/>
              <w:left w:w="90" w:type="dxa"/>
              <w:bottom w:w="90" w:type="dxa"/>
              <w:right w:w="90" w:type="dxa"/>
            </w:tcMar>
          </w:tcPr>
          <w:p>
            <w:pPr>
              <w:spacing w:after="60" w:before="40" w:line="252" w:lineRule="auto"/>
            </w:pPr>
            <w:r>
              <w:rPr>
                <w:b/>
                <w:color w:val="FFFFFF"/>
                <w:sz w:val="19"/>
              </w:rPr>
              <w:t>Exemple de journée</w:t>
            </w:r>
          </w:p>
        </w:tc>
        <w:tc>
          <w:tcPr>
            <w:tcW w:type="dxa" w:w="3005"/>
            <w:shd w:fill="366C70"/>
            <w:vAlign w:val="center"/>
            <w:tcMar>
              <w:top w:w="90" w:type="dxa"/>
              <w:left w:w="90" w:type="dxa"/>
              <w:bottom w:w="90" w:type="dxa"/>
              <w:right w:w="90" w:type="dxa"/>
            </w:tcMar>
          </w:tcPr>
          <w:p>
            <w:pPr>
              <w:spacing w:after="60" w:before="40" w:line="252" w:lineRule="auto"/>
            </w:pPr>
            <w:r>
              <w:rPr>
                <w:b/>
                <w:color w:val="FFFFFF"/>
                <w:sz w:val="19"/>
              </w:rPr>
              <w:t>Temps actif illustratif</w:t>
            </w:r>
          </w:p>
        </w:tc>
      </w:tr>
      <w:tr>
        <w:trPr>
          <w:cantSplit/>
        </w:trPr>
        <w:tc>
          <w:tcPr>
            <w:tcW w:type="dxa" w:w="6576"/>
            <w:shd w:fill="F4F6F6"/>
            <w:vAlign w:val="center"/>
            <w:tcMar>
              <w:top w:w="90" w:type="dxa"/>
              <w:left w:w="90" w:type="dxa"/>
              <w:bottom w:w="90" w:type="dxa"/>
              <w:right w:w="90" w:type="dxa"/>
            </w:tcMar>
          </w:tcPr>
          <w:p>
            <w:pPr>
              <w:spacing w:after="60" w:before="40" w:line="252" w:lineRule="auto"/>
            </w:pPr>
            <w:r>
              <w:rPr>
                <w:sz w:val="19"/>
              </w:rPr>
              <w:t>Action choisie par la personne</w:t>
            </w:r>
          </w:p>
        </w:tc>
        <w:tc>
          <w:tcPr>
            <w:tcW w:type="dxa" w:w="3005"/>
            <w:shd w:fill="F4F6F6"/>
            <w:vAlign w:val="center"/>
            <w:tcMar>
              <w:top w:w="90" w:type="dxa"/>
              <w:left w:w="90" w:type="dxa"/>
              <w:bottom w:w="90" w:type="dxa"/>
              <w:right w:w="90" w:type="dxa"/>
            </w:tcMar>
          </w:tcPr>
          <w:p>
            <w:pPr>
              <w:spacing w:after="60" w:before="40" w:line="252" w:lineRule="auto"/>
            </w:pPr>
            <w:r>
              <w:rPr>
                <w:sz w:val="19"/>
              </w:rPr>
              <w:t>6 minutes</w:t>
            </w:r>
          </w:p>
        </w:tc>
      </w:tr>
      <w:tr>
        <w:trPr>
          <w:cantSplit/>
        </w:trPr>
        <w:tc>
          <w:tcPr>
            <w:tcW w:type="dxa" w:w="6576"/>
            <w:vAlign w:val="center"/>
            <w:tcMar>
              <w:top w:w="90" w:type="dxa"/>
              <w:left w:w="90" w:type="dxa"/>
              <w:bottom w:w="90" w:type="dxa"/>
              <w:right w:w="90" w:type="dxa"/>
            </w:tcMar>
          </w:tcPr>
          <w:p>
            <w:pPr>
              <w:spacing w:after="60" w:before="40" w:line="252" w:lineRule="auto"/>
            </w:pPr>
            <w:r>
              <w:rPr>
                <w:sz w:val="19"/>
              </w:rPr>
              <w:t>Retour dans le journal</w:t>
            </w:r>
          </w:p>
        </w:tc>
        <w:tc>
          <w:tcPr>
            <w:tcW w:type="dxa" w:w="3005"/>
            <w:vAlign w:val="center"/>
            <w:tcMar>
              <w:top w:w="90" w:type="dxa"/>
              <w:left w:w="90" w:type="dxa"/>
              <w:bottom w:w="90" w:type="dxa"/>
              <w:right w:w="90" w:type="dxa"/>
            </w:tcMar>
          </w:tcPr>
          <w:p>
            <w:pPr>
              <w:spacing w:after="60" w:before="40" w:line="252" w:lineRule="auto"/>
            </w:pPr>
            <w:r>
              <w:rPr>
                <w:sz w:val="19"/>
              </w:rPr>
              <w:t>1 minute</w:t>
            </w:r>
          </w:p>
        </w:tc>
      </w:tr>
      <w:tr>
        <w:trPr>
          <w:cantSplit/>
        </w:trPr>
        <w:tc>
          <w:tcPr>
            <w:tcW w:type="dxa" w:w="6576"/>
            <w:shd w:fill="F4F6F6"/>
            <w:vAlign w:val="center"/>
            <w:tcMar>
              <w:top w:w="90" w:type="dxa"/>
              <w:left w:w="90" w:type="dxa"/>
              <w:bottom w:w="90" w:type="dxa"/>
              <w:right w:w="90" w:type="dxa"/>
            </w:tcMar>
          </w:tcPr>
          <w:p>
            <w:pPr>
              <w:spacing w:after="60" w:before="40" w:line="252" w:lineRule="auto"/>
            </w:pPr>
            <w:r>
              <w:rPr>
                <w:sz w:val="19"/>
              </w:rPr>
              <w:t>Lecture ou validation du point de suivi</w:t>
            </w:r>
          </w:p>
        </w:tc>
        <w:tc>
          <w:tcPr>
            <w:tcW w:type="dxa" w:w="3005"/>
            <w:shd w:fill="F4F6F6"/>
            <w:vAlign w:val="center"/>
            <w:tcMar>
              <w:top w:w="90" w:type="dxa"/>
              <w:left w:w="90" w:type="dxa"/>
              <w:bottom w:w="90" w:type="dxa"/>
              <w:right w:w="90" w:type="dxa"/>
            </w:tcMar>
          </w:tcPr>
          <w:p>
            <w:pPr>
              <w:spacing w:after="60" w:before="40" w:line="252" w:lineRule="auto"/>
            </w:pPr>
            <w:r>
              <w:rPr>
                <w:sz w:val="19"/>
              </w:rPr>
              <w:t>1 minute</w:t>
            </w:r>
          </w:p>
        </w:tc>
      </w:tr>
      <w:tr>
        <w:trPr>
          <w:cantSplit/>
        </w:trPr>
        <w:tc>
          <w:tcPr>
            <w:tcW w:type="dxa" w:w="6576"/>
            <w:vAlign w:val="center"/>
            <w:tcMar>
              <w:top w:w="90" w:type="dxa"/>
              <w:left w:w="90" w:type="dxa"/>
              <w:bottom w:w="90" w:type="dxa"/>
              <w:right w:w="90" w:type="dxa"/>
            </w:tcMar>
          </w:tcPr>
          <w:p>
            <w:pPr>
              <w:spacing w:after="60" w:before="40" w:line="252" w:lineRule="auto"/>
            </w:pPr>
            <w:r>
              <w:rPr>
                <w:sz w:val="19"/>
              </w:rPr>
              <w:t>Marge laissée disponible</w:t>
            </w:r>
          </w:p>
        </w:tc>
        <w:tc>
          <w:tcPr>
            <w:tcW w:type="dxa" w:w="3005"/>
            <w:vAlign w:val="center"/>
            <w:tcMar>
              <w:top w:w="90" w:type="dxa"/>
              <w:left w:w="90" w:type="dxa"/>
              <w:bottom w:w="90" w:type="dxa"/>
              <w:right w:w="90" w:type="dxa"/>
            </w:tcMar>
          </w:tcPr>
          <w:p>
            <w:pPr>
              <w:spacing w:after="60" w:before="40" w:line="252" w:lineRule="auto"/>
            </w:pPr>
            <w:r>
              <w:rPr>
                <w:sz w:val="19"/>
              </w:rPr>
              <w:t>2 minutes</w:t>
            </w:r>
          </w:p>
        </w:tc>
      </w:tr>
      <w:tr>
        <w:trPr>
          <w:cantSplit/>
        </w:trPr>
        <w:tc>
          <w:tcPr>
            <w:tcW w:type="dxa" w:w="6576"/>
            <w:shd w:fill="F4F6F6"/>
            <w:vAlign w:val="center"/>
            <w:tcMar>
              <w:top w:w="90" w:type="dxa"/>
              <w:left w:w="90" w:type="dxa"/>
              <w:bottom w:w="90" w:type="dxa"/>
              <w:right w:w="90" w:type="dxa"/>
            </w:tcMar>
          </w:tcPr>
          <w:p>
            <w:pPr>
              <w:spacing w:after="60" w:before="40" w:line="252" w:lineRule="auto"/>
            </w:pPr>
            <w:r>
              <w:rPr>
                <w:b/>
                <w:sz w:val="19"/>
              </w:rPr>
              <w:t>Total prévu / plafond choisi</w:t>
            </w:r>
          </w:p>
        </w:tc>
        <w:tc>
          <w:tcPr>
            <w:tcW w:type="dxa" w:w="3005"/>
            <w:shd w:fill="F4F6F6"/>
            <w:vAlign w:val="center"/>
            <w:tcMar>
              <w:top w:w="90" w:type="dxa"/>
              <w:left w:w="90" w:type="dxa"/>
              <w:bottom w:w="90" w:type="dxa"/>
              <w:right w:w="90" w:type="dxa"/>
            </w:tcMar>
          </w:tcPr>
          <w:p>
            <w:pPr>
              <w:spacing w:after="60" w:before="40" w:line="252" w:lineRule="auto"/>
            </w:pPr>
            <w:r>
              <w:rPr>
                <w:b/>
                <w:sz w:val="19"/>
              </w:rPr>
              <w:t>8 minutes / 10 minutes</w:t>
            </w:r>
          </w:p>
        </w:tc>
      </w:tr>
    </w:tbl>
    <w:p>
      <w:pPr>
        <w:spacing w:after="0"/>
      </w:pPr>
    </w:p>
    <w:p>
      <w:pPr>
        <w:pStyle w:val="Caption"/>
      </w:pPr>
      <w:r>
        <w:t>Un jour comportant un bilan supplémentaire de 2 minutes arrive à 10 minutes : ne pas l’ajouter au-delà du plafond. Cet exemple est un test de cohérence du budget, non une recommandation médicale.</w:t>
      </w:r>
    </w:p>
    <w:p>
      <w:pPr>
        <w:pStyle w:val="Heading2"/>
      </w:pPr>
      <w:r>
        <w:t>7. Décider au bilan</w:t>
      </w:r>
    </w:p>
    <w:p>
      <w:r>
        <w:t>Le bilan examine séparément réalisation, bénéfice perçu, tolérance et faisabilité. Les décisions possibles sont conserver, alléger, déplacer, remplacer une action, observer davantage ou demander une aide adaptée. Une amélioration observée ne prouve pas à elle seule qu’une action en est la cause.</w:t>
      </w:r>
    </w:p>
    <w:p>
      <w:pPr>
        <w:pStyle w:val="Heading2"/>
      </w:pPr>
      <w:r>
        <w:t>8. Traverser les incidents et réduire l’accompagnement</w:t>
      </w:r>
    </w:p>
    <w:p>
      <w:r>
        <w:t>Si le calendrier devient indisponible, proposer d’autres moments sans dépasser le budget. Si la personne demande plus de rapidité, réexaminer la faisabilité sans augmenter seule la charge. Une absence de retour ne déclenche ni sanction ni accumulation. Une évolution préoccupante doit pouvoir interrompre le programme autonome et orienter vers l’aide appropriée.</w:t>
      </w:r>
    </w:p>
    <w:p>
      <w:r>
        <w:t>Lorsque la personne souhaite poursuivre de manière autonome, réduire les rappels et bilans, conserver les outils utiles et permettre une reprise. Les acquis, observations et décisions restent dans le projet ; la publication de ce parcours n’est jamais implicite.</w:t>
      </w:r>
    </w:p>
    <w:p>
      <w:r>
        <w:br w:type="page"/>
      </w:r>
    </w:p>
    <w:p>
      <w:pPr>
        <w:spacing w:after="120"/>
      </w:pPr>
      <w:r>
        <w:rPr>
          <w:color w:val="69767D"/>
          <w:sz w:val="16"/>
        </w:rPr>
        <w:t>EXEMPLES DE RÉUTILISATION SANS CHANGER LE SOCLE</w:t>
      </w:r>
    </w:p>
    <w:p>
      <w:pPr>
        <w:pStyle w:val="Heading1"/>
      </w:pPr>
      <w:r>
        <w:t>11  Éprouver le concept hors de la santé</w:t>
      </w:r>
    </w:p>
    <w:tbl>
      <w:tblPr>
        <w:tblW w:type="auto" w:w="0"/>
        <w:jc w:val="center"/>
        <w:tblLayout w:type="fixed"/>
        <w:tblLook w:firstColumn="1" w:firstRow="1" w:lastColumn="0" w:lastRow="0" w:noHBand="0" w:noVBand="1" w:val="04A0"/>
      </w:tblPr>
      <w:tblGrid>
        <w:gridCol w:w="1843"/>
        <w:gridCol w:w="4110"/>
        <w:gridCol w:w="3628"/>
      </w:tblGrid>
      <w:tr>
        <w:trPr>
          <w:tblHeader/>
          <w:cantSplit/>
        </w:trPr>
        <w:tc>
          <w:tcPr>
            <w:tcW w:type="dxa" w:w="1843"/>
            <w:shd w:fill="366C70"/>
            <w:vAlign w:val="center"/>
            <w:tcMar>
              <w:top w:w="90" w:type="dxa"/>
              <w:left w:w="90" w:type="dxa"/>
              <w:bottom w:w="90" w:type="dxa"/>
              <w:right w:w="90" w:type="dxa"/>
            </w:tcMar>
          </w:tcPr>
          <w:p>
            <w:pPr>
              <w:spacing w:after="60" w:before="40" w:line="252" w:lineRule="auto"/>
            </w:pPr>
            <w:r>
              <w:rPr>
                <w:b/>
                <w:color w:val="FFFFFF"/>
                <w:sz w:val="18"/>
              </w:rPr>
              <w:t>Projet</w:t>
            </w:r>
          </w:p>
        </w:tc>
        <w:tc>
          <w:tcPr>
            <w:tcW w:type="dxa" w:w="4110"/>
            <w:shd w:fill="366C70"/>
            <w:vAlign w:val="center"/>
            <w:tcMar>
              <w:top w:w="90" w:type="dxa"/>
              <w:left w:w="90" w:type="dxa"/>
              <w:bottom w:w="90" w:type="dxa"/>
              <w:right w:w="90" w:type="dxa"/>
            </w:tcMar>
          </w:tcPr>
          <w:p>
            <w:pPr>
              <w:spacing w:after="60" w:before="40" w:line="252" w:lineRule="auto"/>
            </w:pPr>
            <w:r>
              <w:rPr>
                <w:b/>
                <w:color w:val="FFFFFF"/>
                <w:sz w:val="18"/>
              </w:rPr>
              <w:t>Composition et plan</w:t>
            </w:r>
          </w:p>
        </w:tc>
        <w:tc>
          <w:tcPr>
            <w:tcW w:type="dxa" w:w="3628"/>
            <w:shd w:fill="366C70"/>
            <w:vAlign w:val="center"/>
            <w:tcMar>
              <w:top w:w="90" w:type="dxa"/>
              <w:left w:w="90" w:type="dxa"/>
              <w:bottom w:w="90" w:type="dxa"/>
              <w:right w:w="90" w:type="dxa"/>
            </w:tcMar>
          </w:tcPr>
          <w:p>
            <w:pPr>
              <w:spacing w:after="60" w:before="40" w:line="252" w:lineRule="auto"/>
            </w:pPr>
            <w:r>
              <w:rPr>
                <w:b/>
                <w:color w:val="FFFFFF"/>
                <w:sz w:val="18"/>
              </w:rPr>
              <w:t>Ce qui doit rester commun</w:t>
            </w:r>
          </w:p>
        </w:tc>
      </w:tr>
      <w:tr>
        <w:trPr>
          <w:cantSplit/>
        </w:trPr>
        <w:tc>
          <w:tcPr>
            <w:tcW w:type="dxa" w:w="1843"/>
            <w:shd w:fill="F4F6F6"/>
            <w:vAlign w:val="center"/>
            <w:tcMar>
              <w:top w:w="90" w:type="dxa"/>
              <w:left w:w="90" w:type="dxa"/>
              <w:bottom w:w="90" w:type="dxa"/>
              <w:right w:w="90" w:type="dxa"/>
            </w:tcMar>
          </w:tcPr>
          <w:p>
            <w:pPr>
              <w:spacing w:after="60" w:before="40" w:line="252" w:lineRule="auto"/>
            </w:pPr>
            <w:r>
              <w:rPr>
                <w:b/>
                <w:sz w:val="18"/>
              </w:rPr>
              <w:t>Créer un titre musical</w:t>
            </w:r>
          </w:p>
        </w:tc>
        <w:tc>
          <w:tcPr>
            <w:tcW w:type="dxa" w:w="4110"/>
            <w:shd w:fill="F4F6F6"/>
            <w:vAlign w:val="center"/>
            <w:tcMar>
              <w:top w:w="90" w:type="dxa"/>
              <w:left w:w="90" w:type="dxa"/>
              <w:bottom w:w="90" w:type="dxa"/>
              <w:right w:w="90" w:type="dxa"/>
            </w:tcMar>
          </w:tcPr>
          <w:p>
            <w:pPr>
              <w:spacing w:after="60" w:before="40" w:line="252" w:lineRule="auto"/>
            </w:pPr>
            <w:r>
              <w:rPr>
                <w:sz w:val="18"/>
              </w:rPr>
              <w:t>Idée ou prises existantes → composition → enregistrement → édition/mixage avec les outils disponibles → version retenue → publication éventuelle.</w:t>
            </w:r>
          </w:p>
        </w:tc>
        <w:tc>
          <w:tcPr>
            <w:tcW w:type="dxa" w:w="3628"/>
            <w:shd w:fill="F4F6F6"/>
            <w:vAlign w:val="center"/>
            <w:tcMar>
              <w:top w:w="90" w:type="dxa"/>
              <w:left w:w="90" w:type="dxa"/>
              <w:bottom w:w="90" w:type="dxa"/>
              <w:right w:w="90" w:type="dxa"/>
            </w:tcMar>
          </w:tcPr>
          <w:p>
            <w:pPr>
              <w:spacing w:after="60" w:before="40" w:line="252" w:lineRule="auto"/>
            </w:pPr>
            <w:r>
              <w:rPr>
                <w:sz w:val="18"/>
              </w:rPr>
              <w:t>Temps et rythme, ressources, versions, séances au calendrier, guidage facultatif.</w:t>
            </w:r>
          </w:p>
        </w:tc>
      </w:tr>
      <w:tr>
        <w:trPr>
          <w:cantSplit/>
        </w:trPr>
        <w:tc>
          <w:tcPr>
            <w:tcW w:type="dxa" w:w="1843"/>
            <w:vAlign w:val="center"/>
            <w:tcMar>
              <w:top w:w="90" w:type="dxa"/>
              <w:left w:w="90" w:type="dxa"/>
              <w:bottom w:w="90" w:type="dxa"/>
              <w:right w:w="90" w:type="dxa"/>
            </w:tcMar>
          </w:tcPr>
          <w:p>
            <w:pPr>
              <w:spacing w:after="60" w:before="40" w:line="252" w:lineRule="auto"/>
            </w:pPr>
            <w:r>
              <w:rPr>
                <w:b/>
                <w:sz w:val="18"/>
              </w:rPr>
              <w:t>Créer un clip musical</w:t>
            </w:r>
          </w:p>
        </w:tc>
        <w:tc>
          <w:tcPr>
            <w:tcW w:type="dxa" w:w="4110"/>
            <w:vAlign w:val="center"/>
            <w:tcMar>
              <w:top w:w="90" w:type="dxa"/>
              <w:left w:w="90" w:type="dxa"/>
              <w:bottom w:w="90" w:type="dxa"/>
              <w:right w:w="90" w:type="dxa"/>
            </w:tcMar>
          </w:tcPr>
          <w:p>
            <w:pPr>
              <w:spacing w:after="60" w:before="40" w:line="252" w:lineRule="auto"/>
            </w:pPr>
            <w:r>
              <w:rPr>
                <w:sz w:val="18"/>
              </w:rPr>
              <w:t>Titre source → intention → scénario → prises ou éléments générés via connexions vérifiées → montage → validation → publication.</w:t>
            </w:r>
          </w:p>
        </w:tc>
        <w:tc>
          <w:tcPr>
            <w:tcW w:type="dxa" w:w="3628"/>
            <w:vAlign w:val="center"/>
            <w:tcMar>
              <w:top w:w="90" w:type="dxa"/>
              <w:left w:w="90" w:type="dxa"/>
              <w:bottom w:w="90" w:type="dxa"/>
              <w:right w:w="90" w:type="dxa"/>
            </w:tcMar>
          </w:tcPr>
          <w:p>
            <w:pPr>
              <w:spacing w:after="60" w:before="40" w:line="252" w:lineRule="auto"/>
            </w:pPr>
            <w:r>
              <w:rPr>
                <w:sz w:val="18"/>
              </w:rPr>
              <w:t>Dépendances entre objets, outils réels, personnes, budget global et contrôle de diffusion.</w:t>
            </w:r>
          </w:p>
        </w:tc>
      </w:tr>
      <w:tr>
        <w:trPr>
          <w:cantSplit/>
        </w:trPr>
        <w:tc>
          <w:tcPr>
            <w:tcW w:type="dxa" w:w="1843"/>
            <w:shd w:fill="F4F6F6"/>
            <w:vAlign w:val="center"/>
            <w:tcMar>
              <w:top w:w="90" w:type="dxa"/>
              <w:left w:w="90" w:type="dxa"/>
              <w:bottom w:w="90" w:type="dxa"/>
              <w:right w:w="90" w:type="dxa"/>
            </w:tcMar>
          </w:tcPr>
          <w:p>
            <w:pPr>
              <w:spacing w:after="60" w:before="40" w:line="252" w:lineRule="auto"/>
            </w:pPr>
            <w:r>
              <w:rPr>
                <w:b/>
                <w:sz w:val="18"/>
              </w:rPr>
              <w:t>Créer un film ou un court-métrage</w:t>
            </w:r>
          </w:p>
        </w:tc>
        <w:tc>
          <w:tcPr>
            <w:tcW w:type="dxa" w:w="4110"/>
            <w:shd w:fill="F4F6F6"/>
            <w:vAlign w:val="center"/>
            <w:tcMar>
              <w:top w:w="90" w:type="dxa"/>
              <w:left w:w="90" w:type="dxa"/>
              <w:bottom w:w="90" w:type="dxa"/>
              <w:right w:w="90" w:type="dxa"/>
            </w:tcMar>
          </w:tcPr>
          <w:p>
            <w:pPr>
              <w:spacing w:after="60" w:before="40" w:line="252" w:lineRule="auto"/>
            </w:pPr>
            <w:r>
              <w:rPr>
                <w:sz w:val="18"/>
              </w:rPr>
              <w:t>Écriture → préparation → tournage → montage → version finale. Le scénario peut être un sous-projet relié, sans recopier ses données.</w:t>
            </w:r>
          </w:p>
        </w:tc>
        <w:tc>
          <w:tcPr>
            <w:tcW w:type="dxa" w:w="3628"/>
            <w:shd w:fill="F4F6F6"/>
            <w:vAlign w:val="center"/>
            <w:tcMar>
              <w:top w:w="90" w:type="dxa"/>
              <w:left w:w="90" w:type="dxa"/>
              <w:bottom w:w="90" w:type="dxa"/>
              <w:right w:w="90" w:type="dxa"/>
            </w:tcMar>
          </w:tcPr>
          <w:p>
            <w:pPr>
              <w:spacing w:after="60" w:before="40" w:line="252" w:lineRule="auto"/>
            </w:pPr>
            <w:r>
              <w:rPr>
                <w:sz w:val="18"/>
              </w:rPr>
              <w:t>Plan adapté au périmètre, calendrier partagé autorisé, ressources et étapes verrouillables.</w:t>
            </w:r>
          </w:p>
        </w:tc>
      </w:tr>
      <w:tr>
        <w:trPr>
          <w:cantSplit/>
        </w:trPr>
        <w:tc>
          <w:tcPr>
            <w:tcW w:type="dxa" w:w="1843"/>
            <w:vAlign w:val="center"/>
            <w:tcMar>
              <w:top w:w="90" w:type="dxa"/>
              <w:left w:w="90" w:type="dxa"/>
              <w:bottom w:w="90" w:type="dxa"/>
              <w:right w:w="90" w:type="dxa"/>
            </w:tcMar>
          </w:tcPr>
          <w:p>
            <w:pPr>
              <w:spacing w:after="60" w:before="40" w:line="252" w:lineRule="auto"/>
            </w:pPr>
            <w:r>
              <w:rPr>
                <w:b/>
                <w:sz w:val="18"/>
              </w:rPr>
              <w:t>Préparer une tournée musicale</w:t>
            </w:r>
          </w:p>
        </w:tc>
        <w:tc>
          <w:tcPr>
            <w:tcW w:type="dxa" w:w="4110"/>
            <w:vAlign w:val="center"/>
            <w:tcMar>
              <w:top w:w="90" w:type="dxa"/>
              <w:left w:w="90" w:type="dxa"/>
              <w:bottom w:w="90" w:type="dxa"/>
              <w:right w:w="90" w:type="dxa"/>
            </w:tcMar>
          </w:tcPr>
          <w:p>
            <w:pPr>
              <w:spacing w:after="60" w:before="40" w:line="252" w:lineRule="auto"/>
            </w:pPr>
            <w:r>
              <w:rPr>
                <w:sz w:val="18"/>
              </w:rPr>
              <w:t>Périmètre et dates → lieux et contacts → disponibilités → répétitions → logistique → communication → captation éventuelle.</w:t>
            </w:r>
          </w:p>
        </w:tc>
        <w:tc>
          <w:tcPr>
            <w:tcW w:type="dxa" w:w="3628"/>
            <w:vAlign w:val="center"/>
            <w:tcMar>
              <w:top w:w="90" w:type="dxa"/>
              <w:left w:w="90" w:type="dxa"/>
              <w:bottom w:w="90" w:type="dxa"/>
              <w:right w:w="90" w:type="dxa"/>
            </w:tcMar>
          </w:tcPr>
          <w:p>
            <w:pPr>
              <w:spacing w:after="60" w:before="40" w:line="252" w:lineRule="auto"/>
            </w:pPr>
            <w:r>
              <w:rPr>
                <w:sz w:val="18"/>
              </w:rPr>
              <w:t>Famille Organisation, domaines musique et communication, arbitrage des créneaux et personnes.</w:t>
            </w:r>
          </w:p>
        </w:tc>
      </w:tr>
      <w:tr>
        <w:trPr>
          <w:cantSplit/>
        </w:trPr>
        <w:tc>
          <w:tcPr>
            <w:tcW w:type="dxa" w:w="1843"/>
            <w:shd w:fill="F4F6F6"/>
            <w:vAlign w:val="center"/>
            <w:tcMar>
              <w:top w:w="90" w:type="dxa"/>
              <w:left w:w="90" w:type="dxa"/>
              <w:bottom w:w="90" w:type="dxa"/>
              <w:right w:w="90" w:type="dxa"/>
            </w:tcMar>
          </w:tcPr>
          <w:p>
            <w:pPr>
              <w:spacing w:after="60" w:before="40" w:line="252" w:lineRule="auto"/>
            </w:pPr>
            <w:r>
              <w:rPr>
                <w:b/>
                <w:sz w:val="18"/>
              </w:rPr>
              <w:t>Écrire un roman</w:t>
            </w:r>
          </w:p>
        </w:tc>
        <w:tc>
          <w:tcPr>
            <w:tcW w:type="dxa" w:w="4110"/>
            <w:shd w:fill="F4F6F6"/>
            <w:vAlign w:val="center"/>
            <w:tcMar>
              <w:top w:w="90" w:type="dxa"/>
              <w:left w:w="90" w:type="dxa"/>
              <w:bottom w:w="90" w:type="dxa"/>
              <w:right w:w="90" w:type="dxa"/>
            </w:tcMar>
          </w:tcPr>
          <w:p>
            <w:pPr>
              <w:spacing w:after="60" w:before="40" w:line="252" w:lineRule="auto"/>
            </w:pPr>
            <w:r>
              <w:rPr>
                <w:sz w:val="18"/>
              </w:rPr>
              <w:t>Intention ou manuscrit existant → structure utile → séances d’écriture → relecture → mise en page → publication choisie.</w:t>
            </w:r>
          </w:p>
        </w:tc>
        <w:tc>
          <w:tcPr>
            <w:tcW w:type="dxa" w:w="3628"/>
            <w:shd w:fill="F4F6F6"/>
            <w:vAlign w:val="center"/>
            <w:tcMar>
              <w:top w:w="90" w:type="dxa"/>
              <w:left w:w="90" w:type="dxa"/>
              <w:bottom w:w="90" w:type="dxa"/>
              <w:right w:w="90" w:type="dxa"/>
            </w:tcMar>
          </w:tcPr>
          <w:p>
            <w:pPr>
              <w:spacing w:after="60" w:before="40" w:line="252" w:lineRule="auto"/>
            </w:pPr>
            <w:r>
              <w:rPr>
                <w:sz w:val="18"/>
              </w:rPr>
              <w:t>Budget de temps, rythme, outil texte, suivi du livrable plutôt que score de santé.</w:t>
            </w:r>
          </w:p>
        </w:tc>
      </w:tr>
      <w:tr>
        <w:trPr>
          <w:cantSplit/>
        </w:trPr>
        <w:tc>
          <w:tcPr>
            <w:tcW w:type="dxa" w:w="1843"/>
            <w:vAlign w:val="center"/>
            <w:tcMar>
              <w:top w:w="90" w:type="dxa"/>
              <w:left w:w="90" w:type="dxa"/>
              <w:bottom w:w="90" w:type="dxa"/>
              <w:right w:w="90" w:type="dxa"/>
            </w:tcMar>
          </w:tcPr>
          <w:p>
            <w:pPr>
              <w:spacing w:after="60" w:before="40" w:line="252" w:lineRule="auto"/>
            </w:pPr>
            <w:r>
              <w:rPr>
                <w:b/>
                <w:sz w:val="18"/>
              </w:rPr>
              <w:t>Apprendre à chanter ou un instrument</w:t>
            </w:r>
          </w:p>
        </w:tc>
        <w:tc>
          <w:tcPr>
            <w:tcW w:type="dxa" w:w="4110"/>
            <w:vAlign w:val="center"/>
            <w:tcMar>
              <w:top w:w="90" w:type="dxa"/>
              <w:left w:w="90" w:type="dxa"/>
              <w:bottom w:w="90" w:type="dxa"/>
              <w:right w:w="90" w:type="dxa"/>
            </w:tcMar>
          </w:tcPr>
          <w:p>
            <w:pPr>
              <w:spacing w:after="60" w:before="40" w:line="252" w:lineRule="auto"/>
            </w:pPr>
            <w:r>
              <w:rPr>
                <w:sz w:val="18"/>
              </w:rPr>
              <w:t>Niveau et objectif concret → pratique adaptée → enregistrement facultatif → retour → progression sur une compétence.</w:t>
            </w:r>
          </w:p>
        </w:tc>
        <w:tc>
          <w:tcPr>
            <w:tcW w:type="dxa" w:w="3628"/>
            <w:vAlign w:val="center"/>
            <w:tcMar>
              <w:top w:w="90" w:type="dxa"/>
              <w:left w:w="90" w:type="dxa"/>
              <w:bottom w:w="90" w:type="dxa"/>
              <w:right w:w="90" w:type="dxa"/>
            </w:tcMar>
          </w:tcPr>
          <w:p>
            <w:pPr>
              <w:spacing w:after="60" w:before="40" w:line="252" w:lineRule="auto"/>
            </w:pPr>
            <w:r>
              <w:rPr>
                <w:sz w:val="18"/>
              </w:rPr>
              <w:t>Effort accepté, séances, suivi et ressources. Le coaching reste facultatif.</w:t>
            </w:r>
          </w:p>
        </w:tc>
      </w:tr>
      <w:tr>
        <w:trPr>
          <w:cantSplit/>
        </w:trPr>
        <w:tc>
          <w:tcPr>
            <w:tcW w:type="dxa" w:w="1843"/>
            <w:shd w:fill="F4F6F6"/>
            <w:vAlign w:val="center"/>
            <w:tcMar>
              <w:top w:w="90" w:type="dxa"/>
              <w:left w:w="90" w:type="dxa"/>
              <w:bottom w:w="90" w:type="dxa"/>
              <w:right w:w="90" w:type="dxa"/>
            </w:tcMar>
          </w:tcPr>
          <w:p>
            <w:pPr>
              <w:spacing w:after="60" w:before="40" w:line="252" w:lineRule="auto"/>
            </w:pPr>
            <w:r>
              <w:rPr>
                <w:b/>
                <w:sz w:val="18"/>
              </w:rPr>
              <w:t>Maîtriser une technique ou un art martial</w:t>
            </w:r>
          </w:p>
        </w:tc>
        <w:tc>
          <w:tcPr>
            <w:tcW w:type="dxa" w:w="4110"/>
            <w:shd w:fill="F4F6F6"/>
            <w:vAlign w:val="center"/>
            <w:tcMar>
              <w:top w:w="90" w:type="dxa"/>
              <w:left w:w="90" w:type="dxa"/>
              <w:bottom w:w="90" w:type="dxa"/>
              <w:right w:w="90" w:type="dxa"/>
            </w:tcMar>
          </w:tcPr>
          <w:p>
            <w:pPr>
              <w:spacing w:after="60" w:before="40" w:line="252" w:lineRule="auto"/>
            </w:pPr>
            <w:r>
              <w:rPr>
                <w:sz w:val="18"/>
              </w:rPr>
              <w:t>Technique identifiée → prérequis et limites → apprentissage et pratique → évaluation adaptée → étape suivante.</w:t>
            </w:r>
          </w:p>
        </w:tc>
        <w:tc>
          <w:tcPr>
            <w:tcW w:type="dxa" w:w="3628"/>
            <w:shd w:fill="F4F6F6"/>
            <w:vAlign w:val="center"/>
            <w:tcMar>
              <w:top w:w="90" w:type="dxa"/>
              <w:left w:w="90" w:type="dxa"/>
              <w:bottom w:w="90" w:type="dxa"/>
              <w:right w:w="90" w:type="dxa"/>
            </w:tcMar>
          </w:tcPr>
          <w:p>
            <w:pPr>
              <w:spacing w:after="60" w:before="40" w:line="252" w:lineRule="auto"/>
            </w:pPr>
            <w:r>
              <w:rPr>
                <w:sz w:val="18"/>
              </w:rPr>
              <w:t>Temps et rythme, mais respect des contraintes de sécurité ; ne pas accélérer aveuglément.</w:t>
            </w:r>
          </w:p>
        </w:tc>
      </w:tr>
      <w:tr>
        <w:trPr>
          <w:cantSplit/>
        </w:trPr>
        <w:tc>
          <w:tcPr>
            <w:tcW w:type="dxa" w:w="1843"/>
            <w:vAlign w:val="center"/>
            <w:tcMar>
              <w:top w:w="90" w:type="dxa"/>
              <w:left w:w="90" w:type="dxa"/>
              <w:bottom w:w="90" w:type="dxa"/>
              <w:right w:w="90" w:type="dxa"/>
            </w:tcMar>
          </w:tcPr>
          <w:p>
            <w:pPr>
              <w:spacing w:after="60" w:before="40" w:line="252" w:lineRule="auto"/>
            </w:pPr>
            <w:r>
              <w:rPr>
                <w:b/>
                <w:sz w:val="18"/>
              </w:rPr>
              <w:t>Réaliser une mise en page</w:t>
            </w:r>
          </w:p>
        </w:tc>
        <w:tc>
          <w:tcPr>
            <w:tcW w:type="dxa" w:w="4110"/>
            <w:vAlign w:val="center"/>
            <w:tcMar>
              <w:top w:w="90" w:type="dxa"/>
              <w:left w:w="90" w:type="dxa"/>
              <w:bottom w:w="90" w:type="dxa"/>
              <w:right w:w="90" w:type="dxa"/>
            </w:tcMar>
          </w:tcPr>
          <w:p>
            <w:pPr>
              <w:spacing w:after="60" w:before="40" w:line="252" w:lineRule="auto"/>
            </w:pPr>
            <w:r>
              <w:rPr>
                <w:sz w:val="18"/>
              </w:rPr>
              <w:t>Documents source → format et résultat attendu → assemblage avec l’activité et les outils existants → vérification → export.</w:t>
            </w:r>
          </w:p>
        </w:tc>
        <w:tc>
          <w:tcPr>
            <w:tcW w:type="dxa" w:w="3628"/>
            <w:vAlign w:val="center"/>
            <w:tcMar>
              <w:top w:w="90" w:type="dxa"/>
              <w:left w:w="90" w:type="dxa"/>
              <w:bottom w:w="90" w:type="dxa"/>
              <w:right w:w="90" w:type="dxa"/>
            </w:tcMar>
          </w:tcPr>
          <w:p>
            <w:pPr>
              <w:spacing w:after="60" w:before="40" w:line="252" w:lineRule="auto"/>
            </w:pPr>
            <w:r>
              <w:rPr>
                <w:sz w:val="18"/>
              </w:rPr>
              <w:t>Même projet, mêmes règles de plan et d’implication, sans application de PAO parallèle.</w:t>
            </w:r>
          </w:p>
        </w:tc>
      </w:tr>
    </w:tbl>
    <w:p>
      <w:pPr>
        <w:spacing w:after="0"/>
      </w:pPr>
    </w:p>
    <w:p>
      <w:pPr>
        <w:pStyle w:val="Heading2"/>
      </w:pPr>
      <w:r>
        <w:t>Des modèles, pas huit applications différentes</w:t>
      </w:r>
    </w:p>
    <w:p>
      <w:r>
        <w:t>Le socle reste identique ; les critères d’avancement changent. En création, on suit des versions et des livrables. En apprentissage, des compétences et retours. En organisation, des dépendances et engagements. En santé, des observations et la tolérance. Ne pas imposer les indicateurs du sommeil à un roman ou à une tournée.</w:t>
      </w:r>
    </w:p>
    <w:p>
      <w:r>
        <w:t>Le catalogue pourra ensuite s’étendre à d’autres objectifs. L’extension se fait en ajoutant des scénarios et des associations d’outils, pas en dupliquant le moteur de projet ou le bloc Implication pour chaque domaine.</w:t>
      </w:r>
    </w:p>
    <w:p>
      <w:r>
        <w:br w:type="page"/>
      </w:r>
    </w:p>
    <w:p>
      <w:pPr>
        <w:spacing w:after="120"/>
      </w:pPr>
      <w:r>
        <w:rPr>
          <w:color w:val="69767D"/>
          <w:sz w:val="16"/>
        </w:rPr>
        <w:t>ACTIONS TRANSVERSALES ET SORTIES MAÎTRISÉES</w:t>
      </w:r>
    </w:p>
    <w:p>
      <w:pPr>
        <w:pStyle w:val="Heading1"/>
      </w:pPr>
      <w:r>
        <w:t>12  Enregistrement, collaboration, publication</w:t>
      </w:r>
    </w:p>
    <w:p>
      <w:pPr>
        <w:pStyle w:val="Heading2"/>
      </w:pPr>
      <w:r>
        <w:t>Enregistrer en direct</w:t>
      </w:r>
    </w:p>
    <w:p>
      <w:r>
        <w:t>Un projet peut enregistrer de l’audio, de la vidéo ou les deux avec les outils et capacités réellement disponibles. L’accompagnement peut préparer la prise, rappeler une étape ou aider à organiser les médias. Il ne faut pas affirmer qu’un coaching audio/vidéo temps réel existe avant vérification de la chaîne nécessaire.</w:t>
      </w:r>
    </w:p>
    <w:p>
      <w:r>
        <w:t>Distinguer préparation, captation, performance et diffusion. Démarrer un enregistrement ne démarre pas une publication. Le choix des entrées, la qualité, le contrôle de la prise et les options restent ceux de l’outil d’enregistrement ; aucune interface de réglage parallèle ne doit être ajoutée.</w:t>
      </w:r>
    </w:p>
    <w:p>
      <w:pPr>
        <w:pStyle w:val="Heading2"/>
      </w:pPr>
      <w:r>
        <w:t>Collaborer dans le projet</w:t>
      </w:r>
    </w:p>
    <w:p>
      <w:r>
        <w:t>Les participants utilisent les mécanismes de contacts, communication et droits déjà présents, après vérification de leurs capacités. Une tâche peut être proposée à une personne avec la ressource nécessaire et une durée prévue. La disponibilité, l’acceptation et la réalisation sont trois états différents.</w:t>
      </w:r>
    </w:p>
    <w:p>
      <w:r>
        <w:t>Une personne peut participer à une partie du projet sans voir le journal privé ou toutes ses ressources. Les autorisations du projet et celles des éléments partagés doivent être respectées. Un accompagnement collectif ne donne pas automatiquement accès au calendrier détaillé des participants.</w:t>
      </w:r>
    </w:p>
    <w:p>
      <w:pPr>
        <w:pStyle w:val="Heading2"/>
      </w:pPr>
      <w:r>
        <w:t>Publier d’abord dans le réseau atome</w:t>
      </w:r>
    </w:p>
    <w:p>
      <w:r>
        <w:t xml:space="preserve">La publication appartient au projet et au contenu sélectionné. Le chemin de référence vise le </w:t>
      </w:r>
      <w:r>
        <w:rPr>
          <w:b/>
        </w:rPr>
        <w:t>réseau interne atome</w:t>
      </w:r>
      <w:r>
        <w:t>. L’utilisateur choisit les objets ou la version à publier, la visibilité, les destinataires éventuels et le moment. Le brouillon, la validation et l’état publié doivent être distingués par les mécanismes existants ou à définir.</w:t>
      </w:r>
    </w:p>
    <w:p>
      <w:r>
        <w:t xml:space="preserve">Les autres réseaux sont des </w:t>
      </w:r>
      <w:r>
        <w:rPr>
          <w:b/>
        </w:rPr>
        <w:t>destinations d’export</w:t>
      </w:r>
      <w:r>
        <w:t xml:space="preserve"> depuis ce projet. Chaque destination doit correspondre à une intégration réelle et autorisée ; les limitations du service sont visibles. Ne pas créer des boutons d’export qui simulent une capacité inexistante. Ne pas présumer qu’une suppression sur atome efface une copie déjà exportée ailleurs.</w:t>
      </w:r>
    </w:p>
    <w:p>
      <w:pPr>
        <w:pStyle w:val="Heading2"/>
      </w:pPr>
      <w:r>
        <w:t>Automatiser seulement dans le périmètre accepté</w:t>
      </w:r>
    </w:p>
    <w:p>
      <w:r>
        <w:t>Une publication ou un export planifié nécessite l’accord correspondant sur le contenu, la destination et l’horaire. Une révision du plan de travail ne doit pas publier une nouvelle version à l’insu de la personne. Une erreur d’export ne doit pas entraîner plusieurs publications identiques lors d’une relance.</w:t>
      </w:r>
    </w:p>
    <w:p>
      <w:pPr>
        <w:shd w:fill="EEF3F2"/>
        <w:keepLines/>
        <w:pBdr>
          <w:left w:val="single" w:sz="15" w:color="366C70" w:space="9"/>
        </w:pBdr>
        <w:spacing w:before="140" w:after="200"/>
        <w:ind w:left="91"/>
      </w:pPr>
      <w:r>
        <w:rPr>
          <w:b/>
        </w:rPr>
        <w:t>Séparer accompagnement et diffusion.</w:t>
      </w:r>
      <w:r>
        <w:t xml:space="preserve">  Un utilisateur peut être aidé pour enregistrer sans partager sa prise, ou pour créer sans publier. Les curseurs d’implication ne valent jamais consentement à une diffusion, à un achat ou à un partage de données.</w:t>
      </w:r>
    </w:p>
    <w:p>
      <w:r>
        <w:br w:type="page"/>
      </w:r>
    </w:p>
    <w:p>
      <w:pPr>
        <w:spacing w:after="120"/>
      </w:pPr>
      <w:r>
        <w:rPr>
          <w:color w:val="69767D"/>
          <w:sz w:val="16"/>
        </w:rPr>
        <w:t>LOT PILOTE VERTICAL, PUIS GÉNÉRALISATION</w:t>
      </w:r>
    </w:p>
    <w:p>
      <w:pPr>
        <w:pStyle w:val="Heading1"/>
      </w:pPr>
      <w:r>
        <w:t>13  Première réalisation : Mieux dormir</w:t>
      </w:r>
    </w:p>
    <w:p>
      <w:r>
        <w:t xml:space="preserve">La première réalisation produit est un </w:t>
      </w:r>
      <w:r>
        <w:rPr>
          <w:b/>
        </w:rPr>
        <w:t>parcours Mieux dormir complet</w:t>
      </w:r>
      <w:r>
        <w:t>, appuyé sur le socle commun. Éviter de commencer par un vaste catalogue de projets incomplets. Les fonctionnalités communes sont construites ou raccordées pendant ce premier parcours, puis éprouvées sur un deuxième domaine.</w:t>
      </w:r>
    </w:p>
    <w:tbl>
      <w:tblPr>
        <w:tblW w:type="auto" w:w="0"/>
        <w:jc w:val="center"/>
        <w:tblLayout w:type="fixed"/>
        <w:tblLook w:firstColumn="1" w:firstRow="1" w:lastColumn="0" w:lastRow="0" w:noHBand="0" w:noVBand="1" w:val="04A0"/>
      </w:tblPr>
      <w:tblGrid>
        <w:gridCol w:w="2466"/>
        <w:gridCol w:w="7115"/>
      </w:tblGrid>
      <w:tr>
        <w:trPr>
          <w:tblHeader/>
          <w:cantSplit/>
        </w:trPr>
        <w:tc>
          <w:tcPr>
            <w:tcW w:type="dxa" w:w="2466"/>
            <w:shd w:fill="366C70"/>
            <w:vAlign w:val="center"/>
            <w:tcMar>
              <w:top w:w="90" w:type="dxa"/>
              <w:left w:w="90" w:type="dxa"/>
              <w:bottom w:w="90" w:type="dxa"/>
              <w:right w:w="90" w:type="dxa"/>
            </w:tcMar>
          </w:tcPr>
          <w:p>
            <w:pPr>
              <w:spacing w:after="60" w:before="40" w:line="252" w:lineRule="auto"/>
            </w:pPr>
            <w:r>
              <w:rPr>
                <w:b/>
                <w:color w:val="FFFFFF"/>
                <w:sz w:val="18"/>
              </w:rPr>
              <w:t>Étape du lot pilote</w:t>
            </w:r>
          </w:p>
        </w:tc>
        <w:tc>
          <w:tcPr>
            <w:tcW w:type="dxa" w:w="7115"/>
            <w:shd w:fill="366C70"/>
            <w:vAlign w:val="center"/>
            <w:tcMar>
              <w:top w:w="90" w:type="dxa"/>
              <w:left w:w="90" w:type="dxa"/>
              <w:bottom w:w="90" w:type="dxa"/>
              <w:right w:w="90" w:type="dxa"/>
            </w:tcMar>
          </w:tcPr>
          <w:p>
            <w:pPr>
              <w:spacing w:after="60" w:before="40" w:line="252" w:lineRule="auto"/>
            </w:pPr>
            <w:r>
              <w:rPr>
                <w:b/>
                <w:color w:val="FFFFFF"/>
                <w:sz w:val="18"/>
              </w:rPr>
              <w:t>Résultat attendu</w:t>
            </w:r>
          </w:p>
        </w:tc>
      </w:tr>
      <w:tr>
        <w:trPr>
          <w:cantSplit/>
        </w:trPr>
        <w:tc>
          <w:tcPr>
            <w:tcW w:type="dxa" w:w="2466"/>
            <w:vAlign w:val="center"/>
            <w:tcMar>
              <w:top w:w="90" w:type="dxa"/>
              <w:left w:w="90" w:type="dxa"/>
              <w:bottom w:w="90" w:type="dxa"/>
              <w:right w:w="90" w:type="dxa"/>
            </w:tcMar>
            <w:shd w:fill="F3F5F5"/>
          </w:tcPr>
          <w:p>
            <w:pPr>
              <w:spacing w:after="60" w:before="40" w:line="252" w:lineRule="auto"/>
            </w:pPr>
            <w:r>
              <w:rPr>
                <w:b/>
                <w:sz w:val="18"/>
              </w:rPr>
              <w:t>Préalable documentaire</w:t>
            </w:r>
          </w:p>
        </w:tc>
        <w:tc>
          <w:tcPr>
            <w:tcW w:type="dxa" w:w="7115"/>
            <w:vAlign w:val="center"/>
            <w:tcMar>
              <w:top w:w="90" w:type="dxa"/>
              <w:left w:w="90" w:type="dxa"/>
              <w:bottom w:w="90" w:type="dxa"/>
              <w:right w:w="90" w:type="dxa"/>
            </w:tcMar>
            <w:shd w:fill="F3F5F5"/>
          </w:tcPr>
          <w:p>
            <w:pPr>
              <w:spacing w:after="60" w:before="40" w:line="252" w:lineRule="auto"/>
            </w:pPr>
            <w:r>
              <w:rPr>
                <w:sz w:val="18"/>
              </w:rPr>
              <w:t>Relire Scenario_Sommeil.docx, conserver son texte et ses visuels dans une section source clairement séparée. Vérifier les éventuels écarts avec le nouveau concept. Ne pas modifier l’original.</w:t>
            </w:r>
          </w:p>
        </w:tc>
      </w:tr>
      <w:tr>
        <w:trPr>
          <w:cantSplit/>
        </w:trPr>
        <w:tc>
          <w:tcPr>
            <w:tcW w:type="dxa" w:w="2466"/>
            <w:vAlign w:val="center"/>
            <w:tcMar>
              <w:top w:w="90" w:type="dxa"/>
              <w:left w:w="90" w:type="dxa"/>
              <w:bottom w:w="90" w:type="dxa"/>
              <w:right w:w="90" w:type="dxa"/>
            </w:tcMar>
            <w:shd w:fill="FFFFFF"/>
          </w:tcPr>
          <w:p>
            <w:pPr>
              <w:spacing w:after="60" w:before="40" w:line="252" w:lineRule="auto"/>
            </w:pPr>
            <w:r>
              <w:rPr>
                <w:b/>
                <w:sz w:val="18"/>
              </w:rPr>
              <w:t>1. Inventorier l’existant</w:t>
            </w:r>
          </w:p>
        </w:tc>
        <w:tc>
          <w:tcPr>
            <w:tcW w:type="dxa" w:w="7115"/>
            <w:vAlign w:val="center"/>
            <w:tcMar>
              <w:top w:w="90" w:type="dxa"/>
              <w:left w:w="90" w:type="dxa"/>
              <w:bottom w:w="90" w:type="dxa"/>
              <w:right w:w="90" w:type="dxa"/>
            </w:tcMar>
            <w:shd w:fill="FFFFFF"/>
          </w:tcPr>
          <w:p>
            <w:pPr>
              <w:spacing w:after="60" w:before="40" w:line="252" w:lineRule="auto"/>
            </w:pPr>
            <w:r>
              <w:rPr>
                <w:sz w:val="18"/>
              </w:rPr>
              <w:t>Identifier projets, activités, Finder, curseurs, calendrier, journal, Moniteur, Assistant et droits réellement disponibles. Répertorier les manques sans inventer leur API.</w:t>
            </w:r>
          </w:p>
        </w:tc>
      </w:tr>
      <w:tr>
        <w:trPr>
          <w:cantSplit/>
        </w:trPr>
        <w:tc>
          <w:tcPr>
            <w:tcW w:type="dxa" w:w="2466"/>
            <w:vAlign w:val="center"/>
            <w:tcMar>
              <w:top w:w="90" w:type="dxa"/>
              <w:left w:w="90" w:type="dxa"/>
              <w:bottom w:w="90" w:type="dxa"/>
              <w:right w:w="90" w:type="dxa"/>
            </w:tcMar>
            <w:shd w:fill="F3F5F5"/>
          </w:tcPr>
          <w:p>
            <w:pPr>
              <w:spacing w:after="60" w:before="40" w:line="252" w:lineRule="auto"/>
            </w:pPr>
            <w:r>
              <w:rPr>
                <w:b/>
                <w:sz w:val="18"/>
              </w:rPr>
              <w:t>2. Entrer par un objectif</w:t>
            </w:r>
          </w:p>
        </w:tc>
        <w:tc>
          <w:tcPr>
            <w:tcW w:type="dxa" w:w="7115"/>
            <w:vAlign w:val="center"/>
            <w:tcMar>
              <w:top w:w="90" w:type="dxa"/>
              <w:left w:w="90" w:type="dxa"/>
              <w:bottom w:w="90" w:type="dxa"/>
              <w:right w:w="90" w:type="dxa"/>
            </w:tcMar>
            <w:shd w:fill="F3F5F5"/>
          </w:tcPr>
          <w:p>
            <w:pPr>
              <w:spacing w:after="60" w:before="40" w:line="252" w:lineRule="auto"/>
            </w:pPr>
            <w:r>
              <w:rPr>
                <w:sz w:val="18"/>
              </w:rPr>
              <w:t>Accéder à Mieux dormir par recherche ou famille ; créer ou reprendre le projet avec ses objets et ses préférences existantes.</w:t>
            </w:r>
          </w:p>
        </w:tc>
      </w:tr>
      <w:tr>
        <w:trPr>
          <w:cantSplit/>
        </w:trPr>
        <w:tc>
          <w:tcPr>
            <w:tcW w:type="dxa" w:w="2466"/>
            <w:vAlign w:val="center"/>
            <w:tcMar>
              <w:top w:w="90" w:type="dxa"/>
              <w:left w:w="90" w:type="dxa"/>
              <w:bottom w:w="90" w:type="dxa"/>
              <w:right w:w="90" w:type="dxa"/>
            </w:tcMar>
            <w:shd w:fill="FFFFFF"/>
          </w:tcPr>
          <w:p>
            <w:pPr>
              <w:spacing w:after="60" w:before="40" w:line="252" w:lineRule="auto"/>
            </w:pPr>
            <w:r>
              <w:rPr>
                <w:b/>
                <w:sz w:val="18"/>
              </w:rPr>
              <w:t>3. Régler l’implication</w:t>
            </w:r>
          </w:p>
        </w:tc>
        <w:tc>
          <w:tcPr>
            <w:tcW w:type="dxa" w:w="7115"/>
            <w:vAlign w:val="center"/>
            <w:tcMar>
              <w:top w:w="90" w:type="dxa"/>
              <w:left w:w="90" w:type="dxa"/>
              <w:bottom w:w="90" w:type="dxa"/>
              <w:right w:w="90" w:type="dxa"/>
            </w:tcMar>
            <w:shd w:fill="FFFFFF"/>
          </w:tcPr>
          <w:p>
            <w:pPr>
              <w:spacing w:after="60" w:before="40" w:line="252" w:lineRule="auto"/>
            </w:pPr>
            <w:r>
              <w:rPr>
                <w:sz w:val="18"/>
              </w:rPr>
              <w:t>Deux curseurs communs, conversion jour/semaine cohérente, disponibilité facultative, tolérance adaptée au domaine et avertissement en cas d’incompatibilité.</w:t>
            </w:r>
          </w:p>
        </w:tc>
      </w:tr>
      <w:tr>
        <w:trPr>
          <w:cantSplit/>
        </w:trPr>
        <w:tc>
          <w:tcPr>
            <w:tcW w:type="dxa" w:w="2466"/>
            <w:vAlign w:val="center"/>
            <w:tcMar>
              <w:top w:w="90" w:type="dxa"/>
              <w:left w:w="90" w:type="dxa"/>
              <w:bottom w:w="90" w:type="dxa"/>
              <w:right w:w="90" w:type="dxa"/>
            </w:tcMar>
            <w:shd w:fill="F3F5F5"/>
          </w:tcPr>
          <w:p>
            <w:pPr>
              <w:spacing w:after="60" w:before="40" w:line="252" w:lineRule="auto"/>
            </w:pPr>
            <w:r>
              <w:rPr>
                <w:b/>
                <w:sz w:val="18"/>
              </w:rPr>
              <w:t>4. Construire et planifier</w:t>
            </w:r>
          </w:p>
        </w:tc>
        <w:tc>
          <w:tcPr>
            <w:tcW w:type="dxa" w:w="7115"/>
            <w:vAlign w:val="center"/>
            <w:tcMar>
              <w:top w:w="90" w:type="dxa"/>
              <w:left w:w="90" w:type="dxa"/>
              <w:bottom w:w="90" w:type="dxa"/>
              <w:right w:w="90" w:type="dxa"/>
            </w:tcMar>
            <w:shd w:fill="F3F5F5"/>
          </w:tcPr>
          <w:p>
            <w:pPr>
              <w:spacing w:after="60" w:before="40" w:line="252" w:lineRule="auto"/>
            </w:pPr>
            <w:r>
              <w:rPr>
                <w:sz w:val="18"/>
              </w:rPr>
              <w:t>Plan initial compréhensible, modules réels, temps de suivi inclus ; proposition puis placement dans le calendrier autorisé, sans doublons.</w:t>
            </w:r>
          </w:p>
        </w:tc>
      </w:tr>
      <w:tr>
        <w:trPr>
          <w:cantSplit/>
        </w:trPr>
        <w:tc>
          <w:tcPr>
            <w:tcW w:type="dxa" w:w="2466"/>
            <w:vAlign w:val="center"/>
            <w:tcMar>
              <w:top w:w="90" w:type="dxa"/>
              <w:left w:w="90" w:type="dxa"/>
              <w:bottom w:w="90" w:type="dxa"/>
              <w:right w:w="90" w:type="dxa"/>
            </w:tcMar>
            <w:shd w:fill="FFFFFF"/>
          </w:tcPr>
          <w:p>
            <w:pPr>
              <w:spacing w:after="60" w:before="40" w:line="252" w:lineRule="auto"/>
            </w:pPr>
            <w:r>
              <w:rPr>
                <w:b/>
                <w:sz w:val="18"/>
              </w:rPr>
              <w:t>5. Observer et adapter</w:t>
            </w:r>
          </w:p>
        </w:tc>
        <w:tc>
          <w:tcPr>
            <w:tcW w:type="dxa" w:w="7115"/>
            <w:vAlign w:val="center"/>
            <w:tcMar>
              <w:top w:w="90" w:type="dxa"/>
              <w:left w:w="90" w:type="dxa"/>
              <w:bottom w:w="90" w:type="dxa"/>
              <w:right w:w="90" w:type="dxa"/>
            </w:tcMar>
            <w:shd w:fill="FFFFFF"/>
          </w:tcPr>
          <w:p>
            <w:pPr>
              <w:spacing w:after="60" w:before="40" w:line="252" w:lineRule="auto"/>
            </w:pPr>
            <w:r>
              <w:rPr>
                <w:sz w:val="18"/>
              </w:rPr>
              <w:t>Ressenti et journal, mesures optionnelles, origine des données, bilan, ajustement réversible, pause et reprise sans perte d’historique.</w:t>
            </w:r>
          </w:p>
        </w:tc>
      </w:tr>
      <w:tr>
        <w:trPr>
          <w:cantSplit/>
        </w:trPr>
        <w:tc>
          <w:tcPr>
            <w:tcW w:type="dxa" w:w="2466"/>
            <w:vAlign w:val="center"/>
            <w:tcMar>
              <w:top w:w="90" w:type="dxa"/>
              <w:left w:w="90" w:type="dxa"/>
              <w:bottom w:w="90" w:type="dxa"/>
              <w:right w:w="90" w:type="dxa"/>
            </w:tcMar>
            <w:shd w:fill="F3F5F5"/>
          </w:tcPr>
          <w:p>
            <w:pPr>
              <w:spacing w:after="60" w:before="40" w:line="252" w:lineRule="auto"/>
            </w:pPr>
            <w:r>
              <w:rPr>
                <w:b/>
                <w:sz w:val="18"/>
              </w:rPr>
              <w:t>6. Réutiliser une brique de santé</w:t>
            </w:r>
          </w:p>
        </w:tc>
        <w:tc>
          <w:tcPr>
            <w:tcW w:type="dxa" w:w="7115"/>
            <w:vAlign w:val="center"/>
            <w:tcMar>
              <w:top w:w="90" w:type="dxa"/>
              <w:left w:w="90" w:type="dxa"/>
              <w:bottom w:w="90" w:type="dxa"/>
              <w:right w:w="90" w:type="dxa"/>
            </w:tcMar>
            <w:shd w:fill="F3F5F5"/>
          </w:tcPr>
          <w:p>
            <w:pPr>
              <w:spacing w:after="60" w:before="40" w:line="252" w:lineRule="auto"/>
            </w:pPr>
            <w:r>
              <w:rPr>
                <w:sz w:val="18"/>
              </w:rPr>
              <w:t>Mobiliser Sommeil dans Mieux dormir puis Perdre du poids, selon la politique de partage retenue : pas de logique dupliquée ni de temps ou de suivi compté deux fois.</w:t>
            </w:r>
          </w:p>
        </w:tc>
      </w:tr>
      <w:tr>
        <w:trPr>
          <w:cantSplit/>
        </w:trPr>
        <w:tc>
          <w:tcPr>
            <w:tcW w:type="dxa" w:w="2466"/>
            <w:vAlign w:val="center"/>
            <w:tcMar>
              <w:top w:w="90" w:type="dxa"/>
              <w:left w:w="90" w:type="dxa"/>
              <w:bottom w:w="90" w:type="dxa"/>
              <w:right w:w="90" w:type="dxa"/>
            </w:tcMar>
            <w:shd w:fill="FFFFFF"/>
          </w:tcPr>
          <w:p>
            <w:pPr>
              <w:spacing w:after="60" w:before="40" w:line="252" w:lineRule="auto"/>
            </w:pPr>
            <w:r>
              <w:rPr>
                <w:b/>
                <w:sz w:val="18"/>
              </w:rPr>
              <w:t>7. Valider un autre domaine</w:t>
            </w:r>
          </w:p>
        </w:tc>
        <w:tc>
          <w:tcPr>
            <w:tcW w:type="dxa" w:w="7115"/>
            <w:vAlign w:val="center"/>
            <w:tcMar>
              <w:top w:w="90" w:type="dxa"/>
              <w:left w:w="90" w:type="dxa"/>
              <w:bottom w:w="90" w:type="dxa"/>
              <w:right w:w="90" w:type="dxa"/>
            </w:tcMar>
            <w:shd w:fill="FFFFFF"/>
          </w:tcPr>
          <w:p>
            <w:pPr>
              <w:spacing w:after="60" w:before="40" w:line="252" w:lineRule="auto"/>
            </w:pPr>
            <w:r>
              <w:rPr>
                <w:sz w:val="18"/>
              </w:rPr>
              <w:t>Éprouver les mêmes composants sur un titre musical ou un apprentissage. Seuls les outils, questions et critères propres au domaine doivent changer.</w:t>
            </w:r>
          </w:p>
        </w:tc>
      </w:tr>
    </w:tbl>
    <w:p>
      <w:pPr>
        <w:spacing w:after="0"/>
      </w:pPr>
    </w:p>
    <w:p>
      <w:pPr>
        <w:pStyle w:val="Heading2"/>
      </w:pPr>
      <w:r>
        <w:t>Règles de réalisation</w:t>
      </w:r>
    </w:p>
    <w:p>
      <w:r>
        <w:t>Réutiliser l’architecture et les connexions disponibles. Pour du code atome/eVe, rester en JavaScript et dans les composants existants ; ne pas introduire TypeScript ni une architecture de gestion parallèle. Une capacité manquante devient une dépendance explicite, pas un faux outil affiché comme fonctionnel.</w:t>
      </w:r>
    </w:p>
    <w:p>
      <w:r>
        <w:t>La présence des activités par défaut et du mécanisme de sélection a été repérée dans le code [R1–R2]. Le calendrier, le Moniteur, les connexions de santé et la publication n’ont pas fait l’objet d’un audit d’exécution ici. Leur raccordement fait partie de l’inventaire préalable, pas d’une promesse de disponibilité.</w:t>
      </w:r>
    </w:p>
    <w:p>
      <w:r>
        <w:br w:type="page"/>
      </w:r>
    </w:p>
    <w:p>
      <w:pPr>
        <w:spacing w:after="120"/>
      </w:pPr>
      <w:r>
        <w:rPr>
          <w:color w:val="69767D"/>
          <w:sz w:val="16"/>
        </w:rPr>
        <w:t>GRILLE DE VALIDATION DU FUTUR PARCOURS</w:t>
      </w:r>
    </w:p>
    <w:p>
      <w:pPr>
        <w:pStyle w:val="Heading1"/>
      </w:pPr>
      <w:r>
        <w:t>14  Critères de couverture et cas limites</w:t>
      </w:r>
    </w:p>
    <w:tbl>
      <w:tblPr>
        <w:tblW w:type="auto" w:w="0"/>
        <w:jc w:val="center"/>
        <w:tblLayout w:type="fixed"/>
        <w:tblLook w:firstColumn="1" w:firstRow="1" w:lastColumn="0" w:lastRow="0" w:noHBand="0" w:noVBand="1" w:val="04A0"/>
      </w:tblPr>
      <w:tblGrid>
        <w:gridCol w:w="2608"/>
        <w:gridCol w:w="6973"/>
      </w:tblGrid>
      <w:tr>
        <w:trPr>
          <w:tblHeader/>
          <w:cantSplit/>
        </w:trPr>
        <w:tc>
          <w:tcPr>
            <w:tcW w:type="dxa" w:w="2608"/>
            <w:shd w:fill="366C70"/>
            <w:vAlign w:val="center"/>
            <w:tcMar>
              <w:top w:w="90" w:type="dxa"/>
              <w:left w:w="90" w:type="dxa"/>
              <w:bottom w:w="90" w:type="dxa"/>
              <w:right w:w="90" w:type="dxa"/>
            </w:tcMar>
          </w:tcPr>
          <w:p>
            <w:pPr>
              <w:spacing w:after="60" w:before="40" w:line="252" w:lineRule="auto"/>
            </w:pPr>
            <w:r>
              <w:rPr>
                <w:b/>
                <w:color w:val="FFFFFF"/>
                <w:sz w:val="18"/>
              </w:rPr>
              <w:t>Cas à vérifier</w:t>
            </w:r>
          </w:p>
        </w:tc>
        <w:tc>
          <w:tcPr>
            <w:tcW w:type="dxa" w:w="6973"/>
            <w:shd w:fill="366C70"/>
            <w:vAlign w:val="center"/>
            <w:tcMar>
              <w:top w:w="90" w:type="dxa"/>
              <w:left w:w="90" w:type="dxa"/>
              <w:bottom w:w="90" w:type="dxa"/>
              <w:right w:w="90" w:type="dxa"/>
            </w:tcMar>
          </w:tcPr>
          <w:p>
            <w:pPr>
              <w:spacing w:after="60" w:before="40" w:line="252" w:lineRule="auto"/>
            </w:pPr>
            <w:r>
              <w:rPr>
                <w:b/>
                <w:color w:val="FFFFFF"/>
                <w:sz w:val="18"/>
              </w:rPr>
              <w:t>Comportement attendu</w:t>
            </w:r>
          </w:p>
        </w:tc>
      </w:tr>
      <w:tr>
        <w:trPr>
          <w:cantSplit/>
        </w:trPr>
        <w:tc>
          <w:tcPr>
            <w:tcW w:type="dxa" w:w="2608"/>
            <w:vAlign w:val="center"/>
            <w:tcMar>
              <w:top w:w="90" w:type="dxa"/>
              <w:left w:w="90" w:type="dxa"/>
              <w:bottom w:w="90" w:type="dxa"/>
              <w:right w:w="90" w:type="dxa"/>
            </w:tcMar>
            <w:shd w:fill="F3F5F5"/>
          </w:tcPr>
          <w:p>
            <w:pPr>
              <w:spacing w:after="60" w:before="40" w:line="252" w:lineRule="auto"/>
            </w:pPr>
            <w:r>
              <w:rPr>
                <w:b/>
                <w:sz w:val="18"/>
              </w:rPr>
              <w:t>Recherche et familles</w:t>
            </w:r>
          </w:p>
        </w:tc>
        <w:tc>
          <w:tcPr>
            <w:tcW w:type="dxa" w:w="6973"/>
            <w:vAlign w:val="center"/>
            <w:tcMar>
              <w:top w:w="90" w:type="dxa"/>
              <w:left w:w="90" w:type="dxa"/>
              <w:bottom w:w="90" w:type="dxa"/>
              <w:right w:w="90" w:type="dxa"/>
            </w:tcMar>
            <w:shd w:fill="F3F5F5"/>
          </w:tcPr>
          <w:p>
            <w:pPr>
              <w:spacing w:after="60" w:before="40" w:line="252" w:lineRule="auto"/>
            </w:pPr>
            <w:r>
              <w:rPr>
                <w:sz w:val="18"/>
              </w:rPr>
              <w:t>Accès direct à un objectif ; cinq familles au premier niveau ; aucun long menu exhaustif obligatoire. Préservation des activités et entrées existantes.</w:t>
            </w:r>
          </w:p>
        </w:tc>
      </w:tr>
      <w:tr>
        <w:trPr>
          <w:cantSplit/>
        </w:trPr>
        <w:tc>
          <w:tcPr>
            <w:tcW w:type="dxa" w:w="2608"/>
            <w:vAlign w:val="center"/>
            <w:tcMar>
              <w:top w:w="90" w:type="dxa"/>
              <w:left w:w="90" w:type="dxa"/>
              <w:bottom w:w="90" w:type="dxa"/>
              <w:right w:w="90" w:type="dxa"/>
            </w:tcMar>
            <w:shd w:fill="FFFFFF"/>
          </w:tcPr>
          <w:p>
            <w:pPr>
              <w:spacing w:after="60" w:before="40" w:line="252" w:lineRule="auto"/>
            </w:pPr>
            <w:r>
              <w:rPr>
                <w:b/>
                <w:sz w:val="18"/>
              </w:rPr>
              <w:t>Deux curseurs seulement</w:t>
            </w:r>
          </w:p>
        </w:tc>
        <w:tc>
          <w:tcPr>
            <w:tcW w:type="dxa" w:w="6973"/>
            <w:vAlign w:val="center"/>
            <w:tcMar>
              <w:top w:w="90" w:type="dxa"/>
              <w:left w:w="90" w:type="dxa"/>
              <w:bottom w:w="90" w:type="dxa"/>
              <w:right w:w="90" w:type="dxa"/>
            </w:tcMar>
            <w:shd w:fill="FFFFFF"/>
          </w:tcPr>
          <w:p>
            <w:pPr>
              <w:spacing w:after="60" w:before="40" w:line="252" w:lineRule="auto"/>
            </w:pPr>
            <w:r>
              <w:rPr>
                <w:sz w:val="18"/>
              </w:rPr>
              <w:t>Temps et rythme sont communs à tout projet. Le guidage IA, l’échéance et la disponibilité ne deviennent pas trois curseurs supplémentaires imposés.</w:t>
            </w:r>
          </w:p>
        </w:tc>
      </w:tr>
      <w:tr>
        <w:trPr>
          <w:cantSplit/>
        </w:trPr>
        <w:tc>
          <w:tcPr>
            <w:tcW w:type="dxa" w:w="2608"/>
            <w:vAlign w:val="center"/>
            <w:tcMar>
              <w:top w:w="90" w:type="dxa"/>
              <w:left w:w="90" w:type="dxa"/>
              <w:bottom w:w="90" w:type="dxa"/>
              <w:right w:w="90" w:type="dxa"/>
            </w:tcMar>
            <w:shd w:fill="F3F5F5"/>
          </w:tcPr>
          <w:p>
            <w:pPr>
              <w:spacing w:after="60" w:before="40" w:line="252" w:lineRule="auto"/>
            </w:pPr>
            <w:r>
              <w:rPr>
                <w:b/>
                <w:sz w:val="18"/>
              </w:rPr>
              <w:t>Conversion du temps</w:t>
            </w:r>
          </w:p>
        </w:tc>
        <w:tc>
          <w:tcPr>
            <w:tcW w:type="dxa" w:w="6973"/>
            <w:vAlign w:val="center"/>
            <w:tcMar>
              <w:top w:w="90" w:type="dxa"/>
              <w:left w:w="90" w:type="dxa"/>
              <w:bottom w:w="90" w:type="dxa"/>
              <w:right w:w="90" w:type="dxa"/>
            </w:tcMar>
            <w:shd w:fill="F3F5F5"/>
          </w:tcPr>
          <w:p>
            <w:pPr>
              <w:spacing w:after="60" w:before="40" w:line="252" w:lineRule="auto"/>
            </w:pPr>
            <w:r>
              <w:rPr>
                <w:sz w:val="18"/>
              </w:rPr>
              <w:t>10 min × 5 jours = 50 min/semaine. Changer d’unité ne modifie pas le budget ; le suivi est inclus.</w:t>
            </w:r>
          </w:p>
        </w:tc>
      </w:tr>
      <w:tr>
        <w:trPr>
          <w:cantSplit/>
        </w:trPr>
        <w:tc>
          <w:tcPr>
            <w:tcW w:type="dxa" w:w="2608"/>
            <w:vAlign w:val="center"/>
            <w:tcMar>
              <w:top w:w="90" w:type="dxa"/>
              <w:left w:w="90" w:type="dxa"/>
              <w:bottom w:w="90" w:type="dxa"/>
              <w:right w:w="90" w:type="dxa"/>
            </w:tcMar>
            <w:shd w:fill="FFFFFF"/>
          </w:tcPr>
          <w:p>
            <w:pPr>
              <w:spacing w:after="60" w:before="40" w:line="252" w:lineRule="auto"/>
            </w:pPr>
            <w:r>
              <w:rPr>
                <w:b/>
                <w:sz w:val="18"/>
              </w:rPr>
              <w:t>Accélération irréaliste</w:t>
            </w:r>
          </w:p>
        </w:tc>
        <w:tc>
          <w:tcPr>
            <w:tcW w:type="dxa" w:w="6973"/>
            <w:vAlign w:val="center"/>
            <w:tcMar>
              <w:top w:w="90" w:type="dxa"/>
              <w:left w:w="90" w:type="dxa"/>
              <w:bottom w:w="90" w:type="dxa"/>
              <w:right w:w="90" w:type="dxa"/>
            </w:tcMar>
            <w:shd w:fill="FFFFFF"/>
          </w:tcPr>
          <w:p>
            <w:pPr>
              <w:spacing w:after="60" w:before="40" w:line="252" w:lineRule="auto"/>
            </w:pPr>
            <w:r>
              <w:rPr>
                <w:sz w:val="18"/>
              </w:rPr>
              <w:t>Un rythme rapide incompatible produit un arbitrage explicite ; aucune hausse automatique de temps ou d’intensité.</w:t>
            </w:r>
          </w:p>
        </w:tc>
      </w:tr>
      <w:tr>
        <w:trPr>
          <w:cantSplit/>
        </w:trPr>
        <w:tc>
          <w:tcPr>
            <w:tcW w:type="dxa" w:w="2608"/>
            <w:vAlign w:val="center"/>
            <w:tcMar>
              <w:top w:w="90" w:type="dxa"/>
              <w:left w:w="90" w:type="dxa"/>
              <w:bottom w:w="90" w:type="dxa"/>
              <w:right w:w="90" w:type="dxa"/>
            </w:tcMar>
            <w:shd w:fill="F3F5F5"/>
          </w:tcPr>
          <w:p>
            <w:pPr>
              <w:spacing w:after="60" w:before="40" w:line="252" w:lineRule="auto"/>
            </w:pPr>
            <w:r>
              <w:rPr>
                <w:b/>
                <w:sz w:val="18"/>
              </w:rPr>
              <w:t>Conflit calendrier</w:t>
            </w:r>
          </w:p>
        </w:tc>
        <w:tc>
          <w:tcPr>
            <w:tcW w:type="dxa" w:w="6973"/>
            <w:vAlign w:val="center"/>
            <w:tcMar>
              <w:top w:w="90" w:type="dxa"/>
              <w:left w:w="90" w:type="dxa"/>
              <w:bottom w:w="90" w:type="dxa"/>
              <w:right w:w="90" w:type="dxa"/>
            </w:tcMar>
            <w:shd w:fill="F3F5F5"/>
          </w:tcPr>
          <w:p>
            <w:pPr>
              <w:spacing w:after="60" w:before="40" w:line="252" w:lineRule="auto"/>
            </w:pPr>
            <w:r>
              <w:rPr>
                <w:sz w:val="18"/>
              </w:rPr>
              <w:t>Les contraintes fermes et créneaux verrouillés sont respectés. Une nouvelle proposition ne crée pas de doublon et n’efface pas les actions terminées.</w:t>
            </w:r>
          </w:p>
        </w:tc>
      </w:tr>
      <w:tr>
        <w:trPr>
          <w:cantSplit/>
        </w:trPr>
        <w:tc>
          <w:tcPr>
            <w:tcW w:type="dxa" w:w="2608"/>
            <w:vAlign w:val="center"/>
            <w:tcMar>
              <w:top w:w="90" w:type="dxa"/>
              <w:left w:w="90" w:type="dxa"/>
              <w:bottom w:w="90" w:type="dxa"/>
              <w:right w:w="90" w:type="dxa"/>
            </w:tcMar>
            <w:shd w:fill="FFFFFF"/>
          </w:tcPr>
          <w:p>
            <w:pPr>
              <w:spacing w:after="60" w:before="40" w:line="252" w:lineRule="auto"/>
            </w:pPr>
            <w:r>
              <w:rPr>
                <w:b/>
                <w:sz w:val="18"/>
              </w:rPr>
              <w:t>Plusieurs projets ou personnes</w:t>
            </w:r>
          </w:p>
        </w:tc>
        <w:tc>
          <w:tcPr>
            <w:tcW w:type="dxa" w:w="6973"/>
            <w:vAlign w:val="center"/>
            <w:tcMar>
              <w:top w:w="90" w:type="dxa"/>
              <w:left w:w="90" w:type="dxa"/>
              <w:bottom w:w="90" w:type="dxa"/>
              <w:right w:w="90" w:type="dxa"/>
            </w:tcMar>
            <w:shd w:fill="FFFFFF"/>
          </w:tcPr>
          <w:p>
            <w:pPr>
              <w:spacing w:after="60" w:before="40" w:line="252" w:lineRule="auto"/>
            </w:pPr>
            <w:r>
              <w:rPr>
                <w:sz w:val="18"/>
              </w:rPr>
              <w:t>Un seul créneau ne peut pas être compté plusieurs fois. Les disponibilités partagées et les invitations respectent droits et consentements.</w:t>
            </w:r>
          </w:p>
        </w:tc>
      </w:tr>
      <w:tr>
        <w:trPr>
          <w:cantSplit/>
        </w:trPr>
        <w:tc>
          <w:tcPr>
            <w:tcW w:type="dxa" w:w="2608"/>
            <w:vAlign w:val="center"/>
            <w:tcMar>
              <w:top w:w="90" w:type="dxa"/>
              <w:left w:w="90" w:type="dxa"/>
              <w:bottom w:w="90" w:type="dxa"/>
              <w:right w:w="90" w:type="dxa"/>
            </w:tcMar>
            <w:shd w:fill="F3F5F5"/>
          </w:tcPr>
          <w:p>
            <w:pPr>
              <w:spacing w:after="60" w:before="40" w:line="252" w:lineRule="auto"/>
            </w:pPr>
            <w:r>
              <w:rPr>
                <w:b/>
                <w:sz w:val="18"/>
              </w:rPr>
              <w:t>Pas d’IA, pas de capteur</w:t>
            </w:r>
          </w:p>
        </w:tc>
        <w:tc>
          <w:tcPr>
            <w:tcW w:type="dxa" w:w="6973"/>
            <w:vAlign w:val="center"/>
            <w:tcMar>
              <w:top w:w="90" w:type="dxa"/>
              <w:left w:w="90" w:type="dxa"/>
              <w:bottom w:w="90" w:type="dxa"/>
              <w:right w:w="90" w:type="dxa"/>
            </w:tcMar>
            <w:shd w:fill="F3F5F5"/>
          </w:tcPr>
          <w:p>
            <w:pPr>
              <w:spacing w:after="60" w:before="40" w:line="252" w:lineRule="auto"/>
            </w:pPr>
            <w:r>
              <w:rPr>
                <w:sz w:val="18"/>
              </w:rPr>
              <w:t>Les outils et le projet restent utilisables ; les mesures et fonctions absentes ne sont pas simulées. Les limites sont explicites.</w:t>
            </w:r>
          </w:p>
        </w:tc>
      </w:tr>
      <w:tr>
        <w:trPr>
          <w:cantSplit/>
        </w:trPr>
        <w:tc>
          <w:tcPr>
            <w:tcW w:type="dxa" w:w="2608"/>
            <w:vAlign w:val="center"/>
            <w:tcMar>
              <w:top w:w="90" w:type="dxa"/>
              <w:left w:w="90" w:type="dxa"/>
              <w:bottom w:w="90" w:type="dxa"/>
              <w:right w:w="90" w:type="dxa"/>
            </w:tcMar>
            <w:shd w:fill="FFFFFF"/>
          </w:tcPr>
          <w:p>
            <w:pPr>
              <w:spacing w:after="60" w:before="40" w:line="252" w:lineRule="auto"/>
            </w:pPr>
            <w:r>
              <w:rPr>
                <w:b/>
                <w:sz w:val="18"/>
              </w:rPr>
              <w:t>Suivi et adaptation</w:t>
            </w:r>
          </w:p>
        </w:tc>
        <w:tc>
          <w:tcPr>
            <w:tcW w:type="dxa" w:w="6973"/>
            <w:vAlign w:val="center"/>
            <w:tcMar>
              <w:top w:w="90" w:type="dxa"/>
              <w:left w:w="90" w:type="dxa"/>
              <w:bottom w:w="90" w:type="dxa"/>
              <w:right w:w="90" w:type="dxa"/>
            </w:tcMar>
            <w:shd w:fill="FFFFFF"/>
          </w:tcPr>
          <w:p>
            <w:pPr>
              <w:spacing w:after="60" w:before="40" w:line="252" w:lineRule="auto"/>
            </w:pPr>
            <w:r>
              <w:rPr>
                <w:sz w:val="18"/>
              </w:rPr>
              <w:t>Ressenti, mesure, hypothèse et action restent distincts. Une absence de saisie n’est pas un échec. Pause, reprise et révision préservent l’historique.</w:t>
            </w:r>
          </w:p>
        </w:tc>
      </w:tr>
      <w:tr>
        <w:trPr>
          <w:cantSplit/>
        </w:trPr>
        <w:tc>
          <w:tcPr>
            <w:tcW w:type="dxa" w:w="2608"/>
            <w:vAlign w:val="center"/>
            <w:tcMar>
              <w:top w:w="90" w:type="dxa"/>
              <w:left w:w="90" w:type="dxa"/>
              <w:bottom w:w="90" w:type="dxa"/>
              <w:right w:w="90" w:type="dxa"/>
            </w:tcMar>
            <w:shd w:fill="F3F5F5"/>
          </w:tcPr>
          <w:p>
            <w:pPr>
              <w:spacing w:after="60" w:before="40" w:line="252" w:lineRule="auto"/>
            </w:pPr>
            <w:r>
              <w:rPr>
                <w:b/>
                <w:sz w:val="18"/>
              </w:rPr>
              <w:t>Interface native</w:t>
            </w:r>
          </w:p>
        </w:tc>
        <w:tc>
          <w:tcPr>
            <w:tcW w:type="dxa" w:w="6973"/>
            <w:vAlign w:val="center"/>
            <w:tcMar>
              <w:top w:w="90" w:type="dxa"/>
              <w:left w:w="90" w:type="dxa"/>
              <w:bottom w:w="90" w:type="dxa"/>
              <w:right w:w="90" w:type="dxa"/>
            </w:tcMar>
            <w:shd w:fill="F3F5F5"/>
          </w:tcPr>
          <w:p>
            <w:pPr>
              <w:spacing w:after="60" w:before="40" w:line="252" w:lineRule="auto"/>
            </w:pPr>
            <w:r>
              <w:rPr>
                <w:sz w:val="18"/>
              </w:rPr>
              <w:t>Les outils sont réellement présents, sélectionnables et réglables ; options natives au bon endroit ; aucune interface générique ajoutée.</w:t>
            </w:r>
          </w:p>
        </w:tc>
      </w:tr>
      <w:tr>
        <w:trPr>
          <w:cantSplit/>
        </w:trPr>
        <w:tc>
          <w:tcPr>
            <w:tcW w:type="dxa" w:w="2608"/>
            <w:vAlign w:val="center"/>
            <w:tcMar>
              <w:top w:w="90" w:type="dxa"/>
              <w:left w:w="90" w:type="dxa"/>
              <w:bottom w:w="90" w:type="dxa"/>
              <w:right w:w="90" w:type="dxa"/>
            </w:tcMar>
            <w:shd w:fill="FFFFFF"/>
          </w:tcPr>
          <w:p>
            <w:pPr>
              <w:spacing w:after="60" w:before="40" w:line="252" w:lineRule="auto"/>
            </w:pPr>
            <w:r>
              <w:rPr>
                <w:b/>
                <w:sz w:val="18"/>
              </w:rPr>
              <w:t>Publication et export</w:t>
            </w:r>
          </w:p>
        </w:tc>
        <w:tc>
          <w:tcPr>
            <w:tcW w:type="dxa" w:w="6973"/>
            <w:vAlign w:val="center"/>
            <w:tcMar>
              <w:top w:w="90" w:type="dxa"/>
              <w:left w:w="90" w:type="dxa"/>
              <w:bottom w:w="90" w:type="dxa"/>
              <w:right w:w="90" w:type="dxa"/>
            </w:tcMar>
            <w:shd w:fill="FFFFFF"/>
          </w:tcPr>
          <w:p>
            <w:pPr>
              <w:spacing w:after="60" w:before="40" w:line="252" w:lineRule="auto"/>
            </w:pPr>
            <w:r>
              <w:rPr>
                <w:sz w:val="18"/>
              </w:rPr>
              <w:t>Enregistrer ne publie pas. L’accord porte sur contenu et destination. Le journal de santé n’est jamais partagé implicitement.</w:t>
            </w:r>
          </w:p>
        </w:tc>
      </w:tr>
      <w:tr>
        <w:trPr>
          <w:cantSplit/>
        </w:trPr>
        <w:tc>
          <w:tcPr>
            <w:tcW w:type="dxa" w:w="2608"/>
            <w:vAlign w:val="center"/>
            <w:tcMar>
              <w:top w:w="90" w:type="dxa"/>
              <w:left w:w="90" w:type="dxa"/>
              <w:bottom w:w="90" w:type="dxa"/>
              <w:right w:w="90" w:type="dxa"/>
            </w:tcMar>
            <w:shd w:fill="F3F5F5"/>
          </w:tcPr>
          <w:p>
            <w:pPr>
              <w:spacing w:after="60" w:before="40" w:line="252" w:lineRule="auto"/>
            </w:pPr>
            <w:r>
              <w:rPr>
                <w:b/>
                <w:sz w:val="18"/>
              </w:rPr>
              <w:t>Passage à un autre domaine</w:t>
            </w:r>
          </w:p>
        </w:tc>
        <w:tc>
          <w:tcPr>
            <w:tcW w:type="dxa" w:w="6973"/>
            <w:vAlign w:val="center"/>
            <w:tcMar>
              <w:top w:w="90" w:type="dxa"/>
              <w:left w:w="90" w:type="dxa"/>
              <w:bottom w:w="90" w:type="dxa"/>
              <w:right w:w="90" w:type="dxa"/>
            </w:tcMar>
            <w:shd w:fill="F3F5F5"/>
          </w:tcPr>
          <w:p>
            <w:pPr>
              <w:spacing w:after="60" w:before="40" w:line="252" w:lineRule="auto"/>
            </w:pPr>
            <w:r>
              <w:rPr>
                <w:sz w:val="18"/>
              </w:rPr>
              <w:t>Titre musical, tournée, roman et apprentissage conservent le socle ; les règles propres à la santé ne s’y appliquent pas abusivement.</w:t>
            </w:r>
          </w:p>
        </w:tc>
      </w:tr>
      <w:tr>
        <w:trPr>
          <w:cantSplit/>
        </w:trPr>
        <w:tc>
          <w:tcPr>
            <w:tcW w:type="dxa" w:w="2608"/>
            <w:vAlign w:val="center"/>
            <w:tcMar>
              <w:top w:w="90" w:type="dxa"/>
              <w:left w:w="90" w:type="dxa"/>
              <w:bottom w:w="90" w:type="dxa"/>
              <w:right w:w="90" w:type="dxa"/>
            </w:tcMar>
            <w:shd w:fill="FFFFFF"/>
          </w:tcPr>
          <w:p>
            <w:pPr>
              <w:spacing w:after="60" w:before="40" w:line="252" w:lineRule="auto"/>
            </w:pPr>
            <w:r>
              <w:rPr>
                <w:b/>
                <w:sz w:val="18"/>
              </w:rPr>
              <w:t>Composition transversale</w:t>
            </w:r>
          </w:p>
        </w:tc>
        <w:tc>
          <w:tcPr>
            <w:tcW w:type="dxa" w:w="6973"/>
            <w:vAlign w:val="center"/>
            <w:tcMar>
              <w:top w:w="90" w:type="dxa"/>
              <w:left w:w="90" w:type="dxa"/>
              <w:bottom w:w="90" w:type="dxa"/>
              <w:right w:w="90" w:type="dxa"/>
            </w:tcMar>
            <w:shd w:fill="FFFFFF"/>
          </w:tcPr>
          <w:p>
            <w:pPr>
              <w:spacing w:after="60" w:before="40" w:line="252" w:lineRule="auto"/>
            </w:pPr>
            <w:r>
              <w:rPr>
                <w:sz w:val="18"/>
              </w:rPr>
              <w:t>Sommeil assemble des briques plus fines et se réutilise dans Perdre du poids. Accès via les outils natifs ; aucune activation en cascade ni boucle d’exécution.</w:t>
            </w:r>
          </w:p>
        </w:tc>
      </w:tr>
      <w:tr>
        <w:trPr>
          <w:cantSplit/>
        </w:trPr>
        <w:tc>
          <w:tcPr>
            <w:tcW w:type="dxa" w:w="2608"/>
            <w:vAlign w:val="center"/>
            <w:tcMar>
              <w:top w:w="90" w:type="dxa"/>
              <w:left w:w="90" w:type="dxa"/>
              <w:bottom w:w="90" w:type="dxa"/>
              <w:right w:w="90" w:type="dxa"/>
            </w:tcMar>
            <w:shd w:fill="F3F5F5"/>
          </w:tcPr>
          <w:p>
            <w:pPr>
              <w:spacing w:after="60" w:before="40" w:line="252" w:lineRule="auto"/>
            </w:pPr>
            <w:r>
              <w:rPr>
                <w:b/>
                <w:sz w:val="18"/>
              </w:rPr>
              <w:t>Partage entre projets</w:t>
            </w:r>
          </w:p>
        </w:tc>
        <w:tc>
          <w:tcPr>
            <w:tcW w:type="dxa" w:w="6973"/>
            <w:vAlign w:val="center"/>
            <w:tcMar>
              <w:top w:w="90" w:type="dxa"/>
              <w:left w:w="90" w:type="dxa"/>
              <w:bottom w:w="90" w:type="dxa"/>
              <w:right w:w="90" w:type="dxa"/>
            </w:tcMar>
            <w:shd w:fill="F3F5F5"/>
          </w:tcPr>
          <w:p>
            <w:pPr>
              <w:spacing w:after="60" w:before="40" w:line="252" w:lineRule="auto"/>
            </w:pPr>
            <w:r>
              <w:rPr>
                <w:sz w:val="18"/>
              </w:rPr>
              <w:t>Réglages et données partagés explicitement ; une action commune n’est comptée qu’une fois. Conflit signalé ; retrait d’un lien sans suppression du suivi encore utilisé.</w:t>
            </w:r>
          </w:p>
        </w:tc>
      </w:tr>
      <w:tr>
        <w:trPr>
          <w:cantSplit/>
        </w:trPr>
        <w:tc>
          <w:tcPr>
            <w:tcW w:type="dxa" w:w="2608"/>
            <w:vAlign w:val="center"/>
            <w:tcMar>
              <w:top w:w="90" w:type="dxa"/>
              <w:left w:w="90" w:type="dxa"/>
              <w:bottom w:w="90" w:type="dxa"/>
              <w:right w:w="90" w:type="dxa"/>
            </w:tcMar>
            <w:shd w:fill="FFFFFF"/>
          </w:tcPr>
          <w:p>
            <w:pPr>
              <w:spacing w:after="60" w:before="40" w:line="252" w:lineRule="auto"/>
            </w:pPr>
            <w:r>
              <w:rPr>
                <w:b/>
                <w:sz w:val="18"/>
              </w:rPr>
              <w:t>Intégrité de la source Sommeil</w:t>
            </w:r>
          </w:p>
        </w:tc>
        <w:tc>
          <w:tcPr>
            <w:tcW w:type="dxa" w:w="6973"/>
            <w:vAlign w:val="center"/>
            <w:tcMar>
              <w:top w:w="90" w:type="dxa"/>
              <w:left w:w="90" w:type="dxa"/>
              <w:bottom w:w="90" w:type="dxa"/>
              <w:right w:w="90" w:type="dxa"/>
            </w:tcMar>
            <w:shd w:fill="FFFFFF"/>
          </w:tcPr>
          <w:p>
            <w:pPr>
              <w:spacing w:after="60" w:before="40" w:line="252" w:lineRule="auto"/>
            </w:pPr>
            <w:r>
              <w:rPr>
                <w:sz w:val="18"/>
              </w:rPr>
              <w:t>Contrôle du texte, des tableaux, visuels et de leur ordre après reprise. Ne pas annoncer une copie intégrale avant cette vérification.</w:t>
            </w:r>
          </w:p>
        </w:tc>
      </w:tr>
    </w:tbl>
    <w:p>
      <w:pPr>
        <w:spacing w:after="0"/>
      </w:pPr>
    </w:p>
    <w:p>
      <w:pPr>
        <w:pStyle w:val="Heading2"/>
      </w:pPr>
      <w:r>
        <w:t>Ce que cette version valide — et ne valide pas</w:t>
      </w:r>
    </w:p>
    <w:p>
      <w:r>
        <w:t>Elle fixe une organisation, des arbitrages fonctionnels et un scénario pilote de travail. Elle ne valide ni une interface exécutée, ni un algorithme clinique, ni une connexion externe, ni la reprise intégrale du Word source. Les lignes ci-dessus sont des critères pour la réalisation, pas des résultats de tests déjà obtenus.</w:t>
      </w:r>
    </w:p>
    <w:p>
      <w:r>
        <w:br w:type="page"/>
      </w:r>
    </w:p>
    <w:p>
      <w:pPr>
        <w:spacing w:after="120"/>
      </w:pPr>
      <w:r>
        <w:rPr>
          <w:color w:val="69767D"/>
          <w:sz w:val="16"/>
        </w:rPr>
        <w:t>TRAÇABILITÉ DE LA VERSION 0.2</w:t>
      </w:r>
    </w:p>
    <w:p>
      <w:pPr>
        <w:pStyle w:val="Heading1"/>
      </w:pPr>
      <w:r>
        <w:t>15  Sources, intégrité et points ouverts</w:t>
      </w:r>
    </w:p>
    <w:p>
      <w:pPr>
        <w:pStyle w:val="Heading2"/>
      </w:pPr>
      <w:r>
        <w:t>Document Sommeil : statut précis</w:t>
      </w:r>
    </w:p>
    <w:p>
      <w:r>
        <w:t>La version 0.1 n’a pas repris le texte intégral ni les visuels de Scenario_Sommeil.docx. Cette version 0.2 met à jour atome_Project_Concept.docx, relu en entier, sans combler cette absence. L’exemple Sommeil reste une déclinaison de travail, pas une retranscription ou une fusion du fichier source.</w:t>
      </w:r>
    </w:p>
    <w:p>
      <w:r>
        <w:t>Lors de la reprise, conserver le texte, les tableaux, les visuels et leur ordre dans une section « Scénario Sommeil — source intégrale ». Ajouter les nouvelles règles communes dans la partie concept, plutôt que de réécrire silencieusement la source. Rendre explicites les différences entre décisions actuelles et contenu historique ; préserver l’original.</w:t>
      </w:r>
    </w:p>
    <w:p>
      <w:pPr>
        <w:pStyle w:val="Heading2"/>
      </w:pPr>
      <w:r>
        <w:t>Base des propositions</w:t>
      </w:r>
    </w:p>
    <w:p>
      <w:r>
        <w:rPr>
          <w:b/>
        </w:rPr>
        <w:t>Base :</w:t>
      </w:r>
      <w:r>
        <w:rPr>
          <w:b w:val="0"/>
        </w:rPr>
        <w:t xml:space="preserve"> demande du 30 septembre 2026 et contenu de la version 0.1. </w:t>
      </w:r>
      <w:r>
        <w:rPr>
          <w:b/>
        </w:rPr>
        <w:t>Précision intégrée en 0.2 :</w:t>
      </w:r>
      <w:r>
        <w:rPr>
          <w:b w:val="0"/>
        </w:rPr>
        <w:t xml:space="preserve"> briques de niveau inférieur au projet, simples ou composées, réutilisables dans plusieurs scénarios ; Sommeil peut mobiliser méditation, alimentation et horaires réguliers, puis être utilisé dans Perdre du poids. La nature atome / molécule / tool reste ouverte. Les échanges ne remplacent pas le Word source.</w:t>
      </w:r>
    </w:p>
    <w:p>
      <w:pPr>
        <w:pStyle w:val="Heading2"/>
      </w:pPr>
      <w:r>
        <w:t>Références de code consultées</w:t>
      </w:r>
    </w:p>
    <w:p>
      <w:r>
        <w:t xml:space="preserve">Révision eVe : </w:t>
      </w:r>
      <w:r>
        <w:rPr>
          <w:b/>
        </w:rPr>
        <w:t>2c97f230556d05f84426e3a06653e6ea43cfe40e</w:t>
      </w:r>
      <w:r>
        <w:t>. Les constats portent sur cette révision, sans prétendre couvrir les modifications locales non publiées ou une autre branche.</w:t>
      </w:r>
    </w:p>
    <w:p>
      <w:pPr>
        <w:spacing w:after="120"/>
      </w:pPr>
      <w:hyperlink r:id="rId11">
        <w:r>
          <w:rPr>
            <w:color w:val="366C70"/>
            <w:sz w:val="18"/>
          </w:rPr>
          <w:t>[R1] eVe / intuition/tools/activities_model.js — activités par défaut et états par portée</w:t>
        </w:r>
      </w:hyperlink>
    </w:p>
    <w:p>
      <w:pPr>
        <w:spacing w:after="120"/>
      </w:pPr>
      <w:hyperlink r:id="rId12">
        <w:r>
          <w:rPr>
            <w:color w:val="366C70"/>
            <w:sz w:val="18"/>
          </w:rPr>
          <w:t>[R2] eVe / intuition/tools/activities.js — menu, sélection et activité Automatique</w:t>
        </w:r>
      </w:hyperlink>
    </w:p>
    <w:p>
      <w:r>
        <w:t>Ces sources établissent des mécanismes existants à préserver. Elles n’établissent pas la disponibilité d’un moteur de projet guidé, de capteurs, de l’algorithme de calendrier ou des exports proposés.</w:t>
      </w:r>
    </w:p>
    <w:p>
      <w:pPr>
        <w:pStyle w:val="Heading2"/>
      </w:pPr>
      <w:r>
        <w:t>Points ouverts circonscrits</w:t>
      </w:r>
    </w:p>
    <w:p>
      <w:r>
        <w:t>Rapprocher le catalogue de la liste officielle et vérifier les composants. Définir les bornes des curseurs et le moteur de placement. Décider de la réalisation atome / molécule / tool et de la politique de partage décrite en 08.2. Pour la santé, préciser qui valide les règles, quelles adaptations sont autorisées et quels critères interrompent le coaching autonome. Reprendre le document Sommeil avant de déclarer la fusion terminée.</w:t>
      </w:r>
    </w:p>
    <w:p>
      <w:pPr>
        <w:shd w:fill="EEF3F2"/>
        <w:keepLines/>
        <w:pBdr>
          <w:left w:val="single" w:sz="15" w:color="366C70" w:space="9"/>
        </w:pBdr>
        <w:spacing w:before="140" w:after="200"/>
        <w:ind w:left="91"/>
      </w:pPr>
      <w:r>
        <w:rPr>
          <w:b/>
        </w:rPr>
        <w:t>Livraison 0.2.</w:t>
      </w:r>
      <w:r>
        <w:rPr>
          <w:b w:val="0"/>
        </w:rPr>
        <w:t xml:space="preserve">  Mise à jour du Word fourni ; la version 0.1 est conservée. Aucun code, calendrier ou partage n’a été modifié. Cette livraison ne constitue pas un enregistrement dans Bibliothèque / ThermUSS.</w:t>
      </w:r>
    </w:p>
    <w:sectPr w:rsidR="00FC693F" w:rsidRPr="0006063C" w:rsidSect="00034616">
      <w:headerReference w:type="default" r:id="rId9"/>
      <w:footerReference w:type="default" r:id="rId10"/>
      <w:pgSz w:w="11906" w:h="16838"/>
      <w:pgMar w:top="1049" w:right="1162" w:bottom="1049" w:left="1162" w:header="425"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67D"/>
        <w:sz w:val="16"/>
      </w:rPr>
      <w:t xml:space="preserve">Concept · 30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CFD9D8" w:space="5"/>
      </w:pBdr>
    </w:pPr>
    <w:r>
      <w:rPr>
        <w:color w:val="69767D"/>
        <w:sz w:val="16"/>
      </w:rPr>
      <w:t>atome  /  Project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30"/>
    </w:pPr>
    <w:rPr>
      <w:rFonts w:ascii="Lato" w:hAnsi="Lato" w:eastAsia="Lato"/>
      <w:color w:val="24323D"/>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Lato" w:hAnsi="Lato" w:eastAsia="Lato"/>
      <w:b/>
      <w:bCs/>
      <w:color w:val="366C70"/>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eastAsia="Lato"/>
      <w:b/>
      <w:bCs/>
      <w:color w:val="2432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ato" w:hAnsi="Lato" w:eastAsia="Lato"/>
      <w:b/>
      <w:bCs/>
      <w:color w:val="2432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Lato"/>
      <w:b w:val="0"/>
      <w:color w:val="24323D"/>
      <w:spacing w:val="5"/>
      <w:kern w:val="28"/>
      <w:sz w:val="8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eastAsia="Lato"/>
      <w:i/>
      <w:iCs/>
      <w:color w:val="69767D"/>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eastAsia="Lato"/>
      <w:color w:val="24323D"/>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eastAsia="Lato"/>
      <w:b/>
      <w:bCs/>
      <w:color w:val="6976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tomecorp/eVe/blob/2c97f230556d05f84426e3a06653e6ea43cfe40e/intuition/tools/activities_model.js" TargetMode="External"/><Relationship Id="rId12" Type="http://schemas.openxmlformats.org/officeDocument/2006/relationships/hyperlink" Target="https://github.com/atomecorp/eVe/blob/2c97f230556d05f84426e3a06653e6ea43cfe40e/intuition/tools/activitie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atome Project Concept</dc:title>
  <dc:subject>Socle commun, briques transversales et scénario pilote Sommeil</dc:subject>
  <dc:creator/>
  <cp:keywords>atome, eVe, projet, implication, calendrier, sommeil, concept</cp:keywords>
  <dc:description>Version 0.2 : ajout ciblé des briques composables et du partage entre projets. Source Sommeil intégrale non incluse.</dc:description>
  <cp:lastModifiedBy/>
  <cp:revision>2</cp:revision>
  <dcterms:created xsi:type="dcterms:W3CDTF">2013-12-23T23:15:00Z</dcterms:created>
  <dcterms:modified xsi:type="dcterms:W3CDTF">2013-12-23T23:15:00Z</dcterms:modified>
  <cp:category/>
  <dc:language>fr-FR</dc:language>
  <cp:version>0.2</cp:version>
</cp:coreProperties>
</file>