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eVe</w:t>
      </w:r>
    </w:p>
    <w:p>
      <w:pPr>
        <w:jc w:val="center"/>
      </w:pPr>
      <w:r>
        <w:rPr>
          <w:b/>
          <w:sz w:val="40"/>
        </w:rPr>
        <w:t>Dossier type de recherche de financement</w:t>
      </w:r>
    </w:p>
    <w:p>
      <w:pPr>
        <w:jc w:val="center"/>
      </w:pPr>
      <w:r>
        <w:rPr>
          <w:i/>
          <w:sz w:val="22"/>
        </w:rPr>
        <w:t>Document maître — à compléter progressivement</w:t>
      </w:r>
    </w:p>
    <w:p>
      <w:r>
        <w:rPr>
          <w:b/>
          <w:sz w:val="21"/>
        </w:rPr>
        <w:t>eVe fait de l’IA un véritable partenaire de l’humain.</w:t>
      </w:r>
    </w:p>
    <w:p>
      <w:pPr>
        <w:jc w:val="center"/>
      </w:pPr>
      <w:r>
        <w:rPr>
          <w:sz w:val="21"/>
        </w:rPr>
        <w:t>Objectif : disposer d’un dossier unique, complet et réutilisable, pouvant ensuite être décliné selon les attentes d’un financeur, d’un investisseur, d’une banque, d’un organisme public ou d’un partenaire.</w:t>
      </w:r>
    </w:p>
    <w:p>
      <w:r>
        <w:rPr>
          <w:sz w:val="21"/>
        </w:rPr>
        <w:t>Structure porteuse (nom de travail) : atome</w:t>
        <w:br/>
        <w:t>Fondateurs : Jean-Éric Godard et Sylvain Godard</w:t>
        <w:br/>
        <w:t>Adresse : 74 bis avenue des Thermes, Chamalières</w:t>
        <w:br/>
        <w:t>Téléphone : 06 52 57 55 17</w:t>
        <w:br/>
        <w:t>E-mail : contact@atome.one</w:t>
        <w:br/>
        <w:t>Confidentiel — 23 septembre 2026 — Version 0.1</w:t>
      </w:r>
    </w:p>
    <w:p>
      <w:pPr>
        <w:pStyle w:val="Heading1"/>
      </w:pPr>
      <w:r>
        <w:t>Plan du dossier</w:t>
      </w:r>
    </w:p>
    <w:p>
      <w:pPr>
        <w:spacing w:after="40"/>
      </w:pPr>
      <w:r>
        <w:rPr>
          <w:sz w:val="21"/>
        </w:rPr>
        <w:t>1. Résumé exécutif</w:t>
      </w:r>
    </w:p>
    <w:p>
      <w:pPr>
        <w:spacing w:after="40"/>
      </w:pPr>
      <w:r>
        <w:rPr>
          <w:sz w:val="21"/>
        </w:rPr>
        <w:t>2. Présentation de l’entreprise et du projet</w:t>
      </w:r>
    </w:p>
    <w:p>
      <w:pPr>
        <w:spacing w:after="40"/>
      </w:pPr>
      <w:r>
        <w:rPr>
          <w:sz w:val="21"/>
        </w:rPr>
        <w:t>3. Problème, besoin et opportunité</w:t>
      </w:r>
    </w:p>
    <w:p>
      <w:pPr>
        <w:spacing w:after="40"/>
      </w:pPr>
      <w:r>
        <w:rPr>
          <w:sz w:val="21"/>
        </w:rPr>
        <w:t>4. Solution eVe et proposition de valeur</w:t>
      </w:r>
    </w:p>
    <w:p>
      <w:pPr>
        <w:spacing w:after="40"/>
      </w:pPr>
      <w:r>
        <w:rPr>
          <w:sz w:val="21"/>
        </w:rPr>
        <w:t>5. Innovation, différenciation et avantages compétitifs</w:t>
      </w:r>
    </w:p>
    <w:p>
      <w:pPr>
        <w:spacing w:after="40"/>
      </w:pPr>
      <w:r>
        <w:rPr>
          <w:sz w:val="21"/>
        </w:rPr>
        <w:t>6. Produit, technologie, architecture et propriété intellectuelle</w:t>
      </w:r>
    </w:p>
    <w:p>
      <w:pPr>
        <w:spacing w:after="40"/>
      </w:pPr>
      <w:r>
        <w:rPr>
          <w:sz w:val="21"/>
        </w:rPr>
        <w:t>7. Marché, utilisateurs et segments cibles</w:t>
      </w:r>
    </w:p>
    <w:p>
      <w:pPr>
        <w:spacing w:after="40"/>
      </w:pPr>
      <w:r>
        <w:rPr>
          <w:sz w:val="21"/>
        </w:rPr>
        <w:t>8. Concurrence et positionnement</w:t>
      </w:r>
    </w:p>
    <w:p>
      <w:pPr>
        <w:spacing w:after="40"/>
      </w:pPr>
      <w:r>
        <w:rPr>
          <w:sz w:val="21"/>
        </w:rPr>
        <w:t>9. Modèle économique et stratégie de revenus</w:t>
      </w:r>
    </w:p>
    <w:p>
      <w:pPr>
        <w:spacing w:after="40"/>
      </w:pPr>
      <w:r>
        <w:rPr>
          <w:sz w:val="21"/>
        </w:rPr>
        <w:t>10. Stratégie commerciale et go-to-market</w:t>
      </w:r>
    </w:p>
    <w:p>
      <w:pPr>
        <w:spacing w:after="40"/>
      </w:pPr>
      <w:r>
        <w:rPr>
          <w:sz w:val="21"/>
        </w:rPr>
        <w:t>11. Traction, preuves, validations et références</w:t>
      </w:r>
    </w:p>
    <w:p>
      <w:pPr>
        <w:spacing w:after="40"/>
      </w:pPr>
      <w:r>
        <w:rPr>
          <w:sz w:val="21"/>
        </w:rPr>
        <w:t>12. Roadmap, jalons et plan d’exécution</w:t>
      </w:r>
    </w:p>
    <w:p>
      <w:pPr>
        <w:spacing w:after="40"/>
      </w:pPr>
      <w:r>
        <w:rPr>
          <w:sz w:val="21"/>
        </w:rPr>
        <w:t>13. Équipe, compétences et gouvernance</w:t>
      </w:r>
    </w:p>
    <w:p>
      <w:pPr>
        <w:spacing w:after="40"/>
      </w:pPr>
      <w:r>
        <w:rPr>
          <w:sz w:val="21"/>
        </w:rPr>
        <w:t>14. Prévisions financières et hypothèses</w:t>
      </w:r>
    </w:p>
    <w:p>
      <w:pPr>
        <w:spacing w:after="40"/>
      </w:pPr>
      <w:r>
        <w:rPr>
          <w:sz w:val="21"/>
        </w:rPr>
        <w:t>15. Besoin de financement et utilisation des fonds</w:t>
      </w:r>
    </w:p>
    <w:p>
      <w:pPr>
        <w:spacing w:after="40"/>
      </w:pPr>
      <w:r>
        <w:rPr>
          <w:sz w:val="21"/>
        </w:rPr>
        <w:t>16. Risques et mesures de mitigation</w:t>
      </w:r>
    </w:p>
    <w:p>
      <w:pPr>
        <w:spacing w:after="40"/>
      </w:pPr>
      <w:r>
        <w:rPr>
          <w:sz w:val="21"/>
        </w:rPr>
        <w:t>17. Impact économique, social et environnemental</w:t>
      </w:r>
    </w:p>
    <w:p>
      <w:pPr>
        <w:spacing w:after="40"/>
      </w:pPr>
      <w:r>
        <w:rPr>
          <w:sz w:val="21"/>
        </w:rPr>
        <w:t>18. Cadre juridique, administratif et conformité</w:t>
      </w:r>
    </w:p>
    <w:p>
      <w:pPr>
        <w:spacing w:after="40"/>
      </w:pPr>
      <w:r>
        <w:rPr>
          <w:sz w:val="21"/>
        </w:rPr>
        <w:t>19. Demande au financeur / proposition d’investissement</w:t>
      </w:r>
    </w:p>
    <w:p>
      <w:pPr>
        <w:spacing w:after="40"/>
      </w:pPr>
      <w:r>
        <w:rPr>
          <w:sz w:val="21"/>
        </w:rPr>
        <w:t>20. Annexes</w:t>
      </w:r>
    </w:p>
    <w:p>
      <w:r>
        <w:rPr>
          <w:sz w:val="21"/>
        </w:rPr>
        <w:br w:type="page"/>
      </w:r>
    </w:p>
    <w:p>
      <w:pPr>
        <w:pStyle w:val="Heading1"/>
      </w:pPr>
      <w:r>
        <w:t>1. Résumé exécutif</w:t>
      </w:r>
    </w:p>
    <w:p>
      <w:pPr>
        <w:pStyle w:val="Heading2"/>
      </w:pPr>
      <w:r>
        <w:t>Objectif</w:t>
      </w:r>
    </w:p>
    <w:p>
      <w:pPr>
        <w:spacing w:after="120"/>
      </w:pPr>
      <w:r>
        <w:rPr>
          <w:sz w:val="21"/>
        </w:rPr>
        <w:t>Présenter eVe en 1 à 2 pages maximum : vision, problème, solution, innovation, marché, modèle économique, équipe, avancement, besoin de financement et usage des fonds.</w:t>
      </w:r>
    </w:p>
    <w:p>
      <w:pPr>
        <w:pStyle w:val="Heading2"/>
      </w:pPr>
      <w:r>
        <w:rPr>
          <w:b/>
        </w:rPr>
        <w:t>Contenu établi à ce stade</w:t>
      </w:r>
    </w:p>
    <w:p>
      <w:pPr>
        <w:spacing w:after="120"/>
      </w:pPr>
      <w:r>
        <w:t>Financement — La phase d’amorçage vise désormais un runway de 24 mois afin de laisser le temps de finaliser le produit, lancer la commercialisation, mener les actions de communication et atteindre les premiers revenus. Le crowdfunding représenterait environ 20 000 à 50 000 €, complété par des aides, prêts d’honneur et dispositifs régionaux. Le montant global de cette phase doit être recalculé : l’hypothèse initiale de 60 000 à 120 000 € ne couvre pas à elle seule deux fondateurs pendant deux ans plus le matériel, l’IA et le lancement. Phase d’accélération : fourchette de travail de 1 à 2 M€, avec 1,5 M€ comme hypothèse centrale.</w:t>
      </w:r>
    </w:p>
    <w:p>
      <w:r>
        <w:rPr>
          <w:b/>
          <w:sz w:val="21"/>
        </w:rPr>
        <w:t>Points restant à préciser</w:t>
      </w:r>
    </w:p>
    <w:p>
      <w:r>
        <w:rPr>
          <w:sz w:val="21"/>
        </w:rPr>
        <w:t>À compléter : chiffrage de marché, métriques utilisateurs, prévisionnel financier consolidé, jalons commerciaux détaillés.</w:t>
      </w:r>
    </w:p>
    <w:p/>
    <w:p>
      <w:pPr>
        <w:pStyle w:val="Heading1"/>
      </w:pPr>
      <w:r>
        <w:t>2. Présentation de l’entreprise et du projet</w:t>
      </w:r>
    </w:p>
    <w:p>
      <w:pPr>
        <w:pStyle w:val="Heading2"/>
      </w:pPr>
      <w:r>
        <w:t>Objectif</w:t>
      </w:r>
    </w:p>
    <w:p>
      <w:pPr>
        <w:spacing w:after="120"/>
      </w:pPr>
      <w:r>
        <w:rPr>
          <w:sz w:val="21"/>
        </w:rPr>
        <w:t>Présenter la structure porteuse, son origine, sa mission, sa vision et l’ambition à long terme.</w:t>
      </w:r>
    </w:p>
    <w:p>
      <w:pPr>
        <w:pStyle w:val="Heading2"/>
      </w:pPr>
      <w:r>
        <w:rPr>
          <w:b/>
        </w:rPr>
        <w:t>Contenu établi à ce stade</w:t>
      </w:r>
    </w:p>
    <w:p>
      <w:pPr>
        <w:spacing w:after="120"/>
      </w:pPr>
      <w:r>
        <w:rPr>
          <w:sz w:val="21"/>
        </w:rPr>
        <w:t>Structure porteuse : atome (nom de travail actuel).</w:t>
        <w:br/>
        <w:t>Projet : eVe.</w:t>
        <w:br/>
        <w:t>Fondateurs : Jean-Éric Godard et Sylvain Godard.</w:t>
        <w:br/>
        <w:t>Implantation indiquée à ce stade : 74 bis avenue des Thermes, Chamalières.</w:t>
        <w:br/>
        <w:t>Mission : créer un environnement numérique unifié dans lequel l’humain collabore avec l’IA, sans perdre la maîtrise de l’intention, de la décision et de l’action.</w:t>
        <w:br/>
        <w:t>Ambition : faire d’eVe un environnement transversal pour les projets et la vie quotidienne — un « OS pour les humains » centré sur la création, l’organisation, le suivi et la collaboration humain–IA.</w:t>
      </w:r>
    </w:p>
    <w:p>
      <w:r>
        <w:rPr>
          <w:b/>
          <w:sz w:val="21"/>
        </w:rPr>
        <w:t>Points restant à préciser</w:t>
      </w:r>
    </w:p>
    <w:p>
      <w:r>
        <w:rPr>
          <w:sz w:val="21"/>
        </w:rPr>
        <w:t>À préciser : statut juridique définitif, capital, historique formel de la structure, éventuels partenaires.</w:t>
      </w:r>
    </w:p>
    <w:p/>
    <w:p>
      <w:pPr>
        <w:pStyle w:val="Heading1"/>
      </w:pPr>
      <w:r>
        <w:t>3. Problème, besoin et opportunité</w:t>
      </w:r>
    </w:p>
    <w:p>
      <w:pPr>
        <w:pStyle w:val="Heading2"/>
      </w:pPr>
      <w:r>
        <w:t>Objectif</w:t>
      </w:r>
    </w:p>
    <w:p>
      <w:pPr>
        <w:spacing w:after="120"/>
      </w:pPr>
      <w:r>
        <w:rPr>
          <w:sz w:val="21"/>
        </w:rPr>
        <w:t>Décrire clairement les problèmes utilisateurs et économiques auxquels eVe répond, ainsi que l’opportunité créée par l’évolution du marché.</w:t>
      </w:r>
    </w:p>
    <w:p>
      <w:pPr>
        <w:pStyle w:val="Heading2"/>
      </w:pPr>
      <w:r>
        <w:rPr>
          <w:b/>
        </w:rPr>
        <w:t>Contenu établi à ce stade</w:t>
      </w:r>
    </w:p>
    <w:p>
      <w:pPr>
        <w:spacing w:after="120"/>
      </w:pPr>
      <w:r>
        <w:rPr>
          <w:sz w:val="21"/>
        </w:rPr>
        <w:t>Les interfaces d’IA actuelles sont encore largement conversationnelles et textuelles. L’utilisateur doit parler ou écrire, alors qu’il manque souvent une interaction graphique directe avec les objets du travail.</w:t>
        <w:br/>
        <w:br/>
        <w:t>Les usages sont fragmentés entre de multiples outils spécialisés : création vidéo, retouche d’image, compositing, son, documents, gestion personnelle, santé et organisation utilisent des applications différentes, avec des interfaces et des logiques différentes.</w:t>
        <w:br/>
        <w:br/>
        <w:t>Cette fragmentation empêche de disposer d’une vue continue de ses projets et de sa vie. Elle crée des ruptures de workflow, des transferts de fichiers et des changements permanents d’interface.</w:t>
        <w:br/>
        <w:br/>
        <w:t>Enfin, les assistants actuels tendent soit à répondre, soit à exécuter à la place de l’utilisateur. eVe vise au contraire un mode de co-pilotage : l’IA et l’humain agissent sur les mêmes objets, l’utilisateur voit ce que fait l’IA et conserve le contrôle.</w:t>
      </w:r>
    </w:p>
    <w:p>
      <w:r>
        <w:rPr>
          <w:sz w:val="21"/>
        </w:rPr>
      </w:r>
    </w:p>
    <w:p>
      <w:r>
        <w:rPr>
          <w:sz w:val="21"/>
        </w:rPr>
      </w:r>
    </w:p>
    <w:p/>
    <w:p>
      <w:pPr>
        <w:pStyle w:val="Heading1"/>
      </w:pPr>
      <w:r>
        <w:t>4. Solution eVe et proposition de valeur</w:t>
      </w:r>
    </w:p>
    <w:p>
      <w:pPr>
        <w:pStyle w:val="Heading2"/>
      </w:pPr>
      <w:r>
        <w:t>Objectif</w:t>
      </w:r>
    </w:p>
    <w:p>
      <w:pPr>
        <w:spacing w:after="120"/>
      </w:pPr>
      <w:r>
        <w:rPr>
          <w:sz w:val="21"/>
        </w:rPr>
        <w:t>Expliquer ce qu’est eVe, ce qu’il permet de faire et pourquoi l’expérience proposée est utile et attractive.</w:t>
      </w:r>
    </w:p>
    <w:p>
      <w:pPr>
        <w:pStyle w:val="Heading2"/>
      </w:pPr>
      <w:r>
        <w:rPr>
          <w:b/>
        </w:rPr>
        <w:t>Contenu établi à ce stade</w:t>
      </w:r>
    </w:p>
    <w:p>
      <w:pPr>
        <w:spacing w:after="120"/>
      </w:pPr>
      <w:r>
        <w:rPr>
          <w:sz w:val="21"/>
        </w:rPr>
        <w:t>eVe est un environnement graphique unifié centré sur les projets. Un projet peut être créatif, professionnel ou personnel : produire une vidéo, préparer un spectacle, suivre un objectif de santé, organiser une randonnée, mieux dormir, prendre de la masse ou mener toute autre démarche structurée.</w:t>
        <w:br/>
        <w:br/>
        <w:t>L’IA peut aider à cadrer l’objectif, utiliser des templates existants, proposer ou réorganiser des étapes et diagnostiquer les éléments manquants. Elle reste un support : l’utilisateur peut déléguer certaines actions mais peut également intervenir directement à tout moment.</w:t>
        <w:br/>
        <w:br/>
        <w:t>La collaboration se fait au niveau des objets de l’interface : sliders, contrôles et objets graphiques peuvent être manipulés par l’utilisateur comme par l’IA, avec un retour visuel direct.</w:t>
        <w:br/>
        <w:br/>
        <w:t>eVe conserve également une logique de bloc-notes interactif permanent : notes texte et vocales, documents, médias et discussions restent disponibles, organisables, exploitables et partageables.</w:t>
        <w:br/>
        <w:br/>
        <w:t>Le fonctionnement hors ligne fait partie de la proposition : le socle local reste utilisable sans connexion et synchronise ensuite les données lorsque le réseau revient.</w:t>
      </w:r>
    </w:p>
    <w:p>
      <w:r>
        <w:rPr>
          <w:sz w:val="21"/>
        </w:rPr>
      </w:r>
    </w:p>
    <w:p>
      <w:r>
        <w:rPr>
          <w:sz w:val="21"/>
        </w:rPr>
      </w:r>
    </w:p>
    <w:p/>
    <w:p>
      <w:pPr>
        <w:pStyle w:val="Heading1"/>
      </w:pPr>
      <w:r>
        <w:t>5. Innovation, différenciation et avantages compétitifs</w:t>
      </w:r>
    </w:p>
    <w:p>
      <w:pPr>
        <w:pStyle w:val="Heading2"/>
      </w:pPr>
      <w:r>
        <w:t>Objectif</w:t>
      </w:r>
    </w:p>
    <w:p>
      <w:pPr>
        <w:spacing w:after="120"/>
      </w:pPr>
      <w:r>
        <w:rPr>
          <w:sz w:val="21"/>
        </w:rPr>
        <w:t>Mettre en évidence les éléments réellement différenciants : innovation d’usage, technique, économique, organisationnelle ou de modèle.</w:t>
      </w:r>
    </w:p>
    <w:p>
      <w:pPr>
        <w:pStyle w:val="Heading2"/>
      </w:pPr>
      <w:r>
        <w:rPr>
          <w:b/>
        </w:rPr>
        <w:t>Contenu établi à ce stade</w:t>
      </w:r>
    </w:p>
    <w:p>
      <w:pPr>
        <w:spacing w:after="120"/>
      </w:pPr>
      <w:r>
        <w:rPr>
          <w:sz w:val="21"/>
        </w:rPr>
        <w:t>Différenciation envisagée :</w:t>
        <w:br/>
        <w:t>- interaction avec l’IA directement au niveau des objets graphiques, et pas seulement par prompt ou conversation ;</w:t>
        <w:br/>
        <w:t>- interface et logique d’usage cohérentes entre les différents domaines ;</w:t>
        <w:br/>
        <w:t>- collaboration humain–IA visible et réversible, plutôt qu’automatisation opaque ;</w:t>
        <w:br/>
        <w:t>- orchestration possible de plusieurs IA au sein d’un même environnement ;</w:t>
        <w:br/>
        <w:t>- organisation centrée sur les projets, quelle que soit leur nature ;</w:t>
        <w:br/>
        <w:t>- continuité entre création, documents, notes, organisation personnelle et suivi ;</w:t>
        <w:br/>
        <w:t>- fonctionnement local hors ligne avec synchronisation ultérieure ;</w:t>
        <w:br/>
        <w:t>- assistant capable de proposer des actions de façon non intrusive, sans pop-up imposée.</w:t>
      </w:r>
    </w:p>
    <w:p>
      <w:r>
        <w:rPr>
          <w:b/>
          <w:sz w:val="21"/>
        </w:rPr>
        <w:t>Points restant à préciser</w:t>
      </w:r>
    </w:p>
    <w:p>
      <w:r>
        <w:rPr>
          <w:sz w:val="21"/>
        </w:rPr>
        <w:t>À compléter : comparaison documentée avec les principaux concurrents et mesure des avantages difficiles à reproduire.</w:t>
      </w:r>
    </w:p>
    <w:p/>
    <w:p>
      <w:pPr>
        <w:pStyle w:val="Heading1"/>
      </w:pPr>
      <w:r>
        <w:t>6. Produit, technologie, architecture et propriété intellectuelle</w:t>
      </w:r>
    </w:p>
    <w:p>
      <w:pPr>
        <w:pStyle w:val="Heading2"/>
      </w:pPr>
      <w:r>
        <w:t>Objectif</w:t>
      </w:r>
    </w:p>
    <w:p>
      <w:pPr>
        <w:spacing w:after="120"/>
      </w:pPr>
      <w:r>
        <w:rPr>
          <w:sz w:val="21"/>
        </w:rPr>
        <w:t>Décrire le produit et son socle technologique à un niveau adapté au financeur, sans noyer le dossier dans la technique.</w:t>
      </w:r>
    </w:p>
    <w:p>
      <w:pPr>
        <w:pStyle w:val="Heading2"/>
      </w:pPr>
      <w:r>
        <w:rPr>
          <w:b/>
        </w:rPr>
        <w:t>Contenu établi à ce stade</w:t>
      </w:r>
    </w:p>
    <w:p>
      <w:pPr>
        <w:spacing w:after="120"/>
      </w:pPr>
      <w:r>
        <w:rPr>
          <w:sz w:val="21"/>
        </w:rPr>
        <w:t>État produit : alpha avancée, proche de la bêta.</w:t>
        <w:br/>
        <w:t>Plateformes actuellement visées / fonctionnelles selon l’état annoncé : iOS, Android, Web, macOS, Windows, Linux et FreeBSD.</w:t>
        <w:br/>
        <w:t>Un mode de démarrage direct sur FreeBSD est envisagé pour des appareils dédiés.</w:t>
        <w:br/>
        <w:t>Approche produit : socle local utilisable hors ligne, avec synchronisation et services cloud lorsque la connexion est disponible.</w:t>
        <w:br/>
        <w:t>IA : possibilité de s’appuyer sur plusieurs modèles/services, notamment pendant le développement et, côté produit, pour proposer une orchestration adaptée aux tâches.</w:t>
      </w:r>
    </w:p>
    <w:p>
      <w:r>
        <w:rPr>
          <w:sz w:val="21"/>
        </w:rPr>
      </w:r>
    </w:p>
    <w:p>
      <w:r>
        <w:rPr>
          <w:sz w:val="21"/>
        </w:rPr>
      </w:r>
    </w:p>
    <w:p/>
    <w:p>
      <w:pPr>
        <w:pStyle w:val="Heading1"/>
      </w:pPr>
      <w:r>
        <w:t>7. Marché, utilisateurs et segments cibles</w:t>
      </w:r>
    </w:p>
    <w:p>
      <w:pPr>
        <w:pStyle w:val="Heading2"/>
      </w:pPr>
      <w:r>
        <w:t>Objectif</w:t>
      </w:r>
    </w:p>
    <w:p>
      <w:pPr>
        <w:spacing w:after="120"/>
      </w:pPr>
      <w:r>
        <w:rPr>
          <w:sz w:val="21"/>
        </w:rPr>
        <w:t>Quantifier le marché et préciser les cibles prioritaires.</w:t>
      </w:r>
    </w:p>
    <w:p>
      <w:pPr>
        <w:pStyle w:val="Heading2"/>
      </w:pPr>
      <w:r>
        <w:rPr>
          <w:b/>
        </w:rPr>
        <w:t>Contenu établi à ce stade</w:t>
      </w:r>
    </w:p>
    <w:p>
      <w:pPr>
        <w:spacing w:after="120"/>
      </w:pPr>
      <w:r>
        <w:rPr>
          <w:sz w:val="21"/>
        </w:rPr>
        <w:t>Cible initiale : utilisateurs créatifs ayant besoin d’un environnement unifié pour leurs projets et leurs médias.</w:t>
        <w:br/>
        <w:br/>
        <w:t>Extension visée : toute personne ayant un projet à mener ou à partager, qu’il soit créatif, personnel, lié au bien-être, à la santé, à l’organisation, au travail ou à un objectif de vie.</w:t>
        <w:br/>
        <w:br/>
        <w:t>L’approche marché détaillée (TAM/SAM/SOM, segmentation géographique, taille et croissance) reste à établir avec des données sourcées.</w:t>
      </w:r>
    </w:p>
    <w:p>
      <w:r>
        <w:rPr>
          <w:sz w:val="21"/>
        </w:rPr>
      </w:r>
    </w:p>
    <w:p>
      <w:r>
        <w:rPr>
          <w:sz w:val="21"/>
        </w:rPr>
      </w:r>
    </w:p>
    <w:p/>
    <w:p>
      <w:pPr>
        <w:pStyle w:val="Heading1"/>
      </w:pPr>
      <w:r>
        <w:t>8. Concurrence et positionnement</w:t>
      </w:r>
    </w:p>
    <w:p>
      <w:pPr>
        <w:pStyle w:val="Heading2"/>
      </w:pPr>
      <w:r>
        <w:t>Objectif</w:t>
      </w:r>
    </w:p>
    <w:p>
      <w:pPr>
        <w:spacing w:after="120"/>
      </w:pPr>
      <w:r>
        <w:rPr>
          <w:sz w:val="21"/>
        </w:rPr>
        <w:t>Identifier les alternatives directes et indirectes et expliquer le positionnement d’eVe.</w:t>
      </w:r>
    </w:p>
    <w:p>
      <w:pPr>
        <w:pStyle w:val="Heading2"/>
      </w:pPr>
      <w:r>
        <w:t>À compléter</w:t>
      </w:r>
    </w:p>
    <w:p>
      <w:pPr>
        <w:spacing w:after="120"/>
      </w:pPr>
      <w:r>
        <w:rPr>
          <w:sz w:val="21"/>
        </w:rPr>
        <w:t>Concurrents ; solutions substitutives ; tableau comparatif ; différences fonctionnelles ; différenciation prix/usage/technologie ; positionnement.</w:t>
      </w:r>
    </w:p>
    <w:p>
      <w:r>
        <w:rPr>
          <w:sz w:val="21"/>
        </w:rPr>
        <w:t>Notes de travail : ________________________________________________</w:t>
      </w:r>
    </w:p>
    <w:p>
      <w:r>
        <w:rPr>
          <w:sz w:val="21"/>
        </w:rPr>
        <w:t>________________________________________________________________</w:t>
      </w:r>
    </w:p>
    <w:p/>
    <w:p>
      <w:pPr>
        <w:pStyle w:val="Heading1"/>
      </w:pPr>
      <w:r>
        <w:t>9. Modèle économique et stratégie de revenus</w:t>
      </w:r>
    </w:p>
    <w:p>
      <w:pPr>
        <w:pStyle w:val="Heading2"/>
      </w:pPr>
      <w:r>
        <w:t>Objectif</w:t>
      </w:r>
    </w:p>
    <w:p>
      <w:pPr>
        <w:spacing w:after="120"/>
      </w:pPr>
      <w:r>
        <w:rPr>
          <w:sz w:val="21"/>
        </w:rPr>
        <w:t>Montrer comment eVe générera des revenus de manière durable.</w:t>
      </w:r>
    </w:p>
    <w:p>
      <w:pPr>
        <w:pStyle w:val="Heading2"/>
      </w:pPr>
      <w:r>
        <w:rPr>
          <w:b/>
        </w:rPr>
        <w:t>Contenu établi à ce stade</w:t>
      </w:r>
    </w:p>
    <w:p>
      <w:pPr>
        <w:spacing w:after="120"/>
      </w:pPr>
      <w:r>
        <w:rPr>
          <w:sz w:val="21"/>
        </w:rPr>
        <w:t>1. Offre gratuite / freemium : application locale utilisable hors connexion avec un socle d’outils essentiels.</w:t>
        <w:br/>
        <w:t>2. Vente d’outils supplémentaires : modules ou outils proposés à l’unité.</w:t>
        <w:br/>
        <w:t>3. Abonnement cloud + IA : synchronisation, services cloud et accès aux capacités IA avancées.</w:t>
        <w:br/>
        <w:t>4. Écosystème transactionnel : commission fixe envisagée entre 1 et 3 % sur les transactions réalisées par l’intermédiaire d’atome/eVe. Ces transactions peuvent concerner des outils de tiers, des contenus ou documents numériques et, à terme, d’autres biens ou services.</w:t>
        <w:br/>
        <w:br/>
        <w:t>Le taux de commission définitif reste à étudier ; l’objectif exprimé est de conserver une commission faible.</w:t>
      </w:r>
    </w:p>
    <w:p>
      <w:r>
        <w:rPr>
          <w:sz w:val="21"/>
        </w:rPr>
      </w:r>
    </w:p>
    <w:p>
      <w:r>
        <w:rPr>
          <w:sz w:val="21"/>
        </w:rPr>
      </w:r>
    </w:p>
    <w:p/>
    <w:p>
      <w:pPr>
        <w:pStyle w:val="Heading1"/>
      </w:pPr>
      <w:r>
        <w:t>10. Stratégie commerciale et go-to-market</w:t>
      </w:r>
    </w:p>
    <w:p>
      <w:pPr>
        <w:pStyle w:val="Heading2"/>
      </w:pPr>
      <w:r>
        <w:t>Objectif</w:t>
      </w:r>
    </w:p>
    <w:p>
      <w:pPr>
        <w:spacing w:after="120"/>
      </w:pPr>
      <w:r>
        <w:rPr>
          <w:sz w:val="21"/>
        </w:rPr>
        <w:t>Décrire comment les premiers utilisateurs et clients seront acquis puis comment la croissance sera accélérée.</w:t>
      </w:r>
    </w:p>
    <w:p>
      <w:pPr>
        <w:pStyle w:val="Heading2"/>
      </w:pPr>
      <w:r>
        <w:t>À compléter</w:t>
      </w:r>
    </w:p>
    <w:p>
      <w:pPr>
        <w:spacing w:after="120"/>
      </w:pPr>
      <w:r>
        <w:rPr>
          <w:sz w:val="21"/>
        </w:rPr>
        <w:t>Canaux d’acquisition ; partenariats ; marketing ; ventes ; stratégie B2C/B2B/B2B2C ; déploiement géographique ; calendrier.</w:t>
      </w:r>
    </w:p>
    <w:p>
      <w:r>
        <w:rPr>
          <w:sz w:val="21"/>
        </w:rPr>
        <w:t>Notes de travail : ________________________________________________</w:t>
      </w:r>
    </w:p>
    <w:p>
      <w:r>
        <w:rPr>
          <w:sz w:val="21"/>
        </w:rPr>
        <w:t>________________________________________________________________</w:t>
      </w:r>
    </w:p>
    <w:p/>
    <w:p>
      <w:pPr>
        <w:pStyle w:val="Heading1"/>
      </w:pPr>
      <w:r>
        <w:t>11. Traction, preuves, validations et références</w:t>
      </w:r>
    </w:p>
    <w:p>
      <w:pPr>
        <w:pStyle w:val="Heading2"/>
      </w:pPr>
      <w:r>
        <w:t>Objectif</w:t>
      </w:r>
    </w:p>
    <w:p>
      <w:pPr>
        <w:spacing w:after="120"/>
      </w:pPr>
      <w:r>
        <w:rPr>
          <w:sz w:val="21"/>
        </w:rPr>
        <w:t>Apporter des preuves que le projet avance et répond à un besoin réel.</w:t>
      </w:r>
    </w:p>
    <w:p>
      <w:pPr>
        <w:pStyle w:val="Heading2"/>
      </w:pPr>
      <w:r>
        <w:rPr>
          <w:b/>
        </w:rPr>
        <w:t>Contenu établi à ce stade</w:t>
      </w:r>
    </w:p>
    <w:p>
      <w:pPr>
        <w:spacing w:after="120"/>
      </w:pPr>
      <w:r>
        <w:rPr>
          <w:sz w:val="21"/>
        </w:rPr>
        <w:t>Produit déjà démontrable.</w:t>
        <w:br/>
        <w:t>Application en alpha avancée et proche de la bêta ; estimation annoncée d’environ deux mois pour atteindre la bêta.</w:t>
        <w:br/>
        <w:t>Compatibilité annoncée sur iOS, Android, Web, macOS, Windows, Linux et FreeBSD.</w:t>
        <w:br/>
        <w:t>Environ 90 % des outils prévus sont déjà implémentés.</w:t>
        <w:br/>
        <w:t>Interface réalisée aux trois quarts ; travail restant principalement sur la simplification, l’affinage visuel et la finition.</w:t>
        <w:br/>
        <w:t>Un mode de démarrage direct sur FreeBSD existe / est travaillé pour des appareils dédiés.</w:t>
      </w:r>
    </w:p>
    <w:p>
      <w:r>
        <w:rPr>
          <w:b/>
          <w:sz w:val="21"/>
        </w:rPr>
        <w:t>Points restant à préciser</w:t>
      </w:r>
    </w:p>
    <w:p>
      <w:r>
        <w:rPr>
          <w:sz w:val="21"/>
        </w:rPr>
        <w:t>À documenter : nombre de testeurs, métriques d’usage, démonstrations, retours utilisateurs, stabilité et couverture de tests.</w:t>
      </w:r>
    </w:p>
    <w:p/>
    <w:p>
      <w:pPr>
        <w:pStyle w:val="Heading1"/>
      </w:pPr>
      <w:r>
        <w:t>12. Roadmap, jalons et plan d’exécution</w:t>
      </w:r>
    </w:p>
    <w:p>
      <w:pPr>
        <w:pStyle w:val="Heading2"/>
      </w:pPr>
      <w:r>
        <w:t>Objectif</w:t>
      </w:r>
    </w:p>
    <w:p>
      <w:pPr>
        <w:spacing w:after="120"/>
      </w:pPr>
      <w:r>
        <w:rPr>
          <w:sz w:val="21"/>
        </w:rPr>
        <w:t>Montrer ce qui sera réalisé, dans quel ordre et avec quels critères de réussite.</w:t>
      </w:r>
    </w:p>
    <w:p>
      <w:pPr>
        <w:pStyle w:val="Heading2"/>
      </w:pPr>
      <w:r>
        <w:t>À compléter</w:t>
      </w:r>
    </w:p>
    <w:p>
      <w:pPr>
        <w:spacing w:after="120"/>
      </w:pPr>
      <w:r>
        <w:rPr>
          <w:sz w:val="21"/>
        </w:rPr>
        <w:t>Roadmap 12/24/36 mois ; livrables ; jalons techniques ; jalons commerciaux ; recrutements ; dépendances ; KPIs.</w:t>
      </w:r>
    </w:p>
    <w:p>
      <w:r>
        <w:rPr>
          <w:sz w:val="21"/>
        </w:rPr>
        <w:t>Notes de travail : ________________________________________________</w:t>
      </w:r>
    </w:p>
    <w:p>
      <w:r>
        <w:rPr>
          <w:sz w:val="21"/>
        </w:rPr>
        <w:t>________________________________________________________________</w:t>
      </w:r>
    </w:p>
    <w:p/>
    <w:p>
      <w:pPr>
        <w:pStyle w:val="Heading1"/>
      </w:pPr>
      <w:r>
        <w:t>13. Équipe, compétences et gouvernance</w:t>
      </w:r>
    </w:p>
    <w:p>
      <w:pPr>
        <w:pStyle w:val="Heading2"/>
      </w:pPr>
      <w:r>
        <w:t>Objectif</w:t>
      </w:r>
    </w:p>
    <w:p>
      <w:pPr>
        <w:spacing w:after="120"/>
      </w:pPr>
      <w:r>
        <w:rPr>
          <w:sz w:val="21"/>
        </w:rPr>
        <w:t>Montrer que l’équipe dispose des compétences nécessaires ou sait précisément lesquelles acquérir.</w:t>
      </w:r>
    </w:p>
    <w:p>
      <w:pPr>
        <w:pStyle w:val="Heading2"/>
      </w:pPr>
      <w:r>
        <w:rPr>
          <w:b/>
        </w:rPr>
        <w:t>Contenu établi à ce stade</w:t>
      </w:r>
    </w:p>
    <w:p>
      <w:pPr>
        <w:spacing w:after="120"/>
      </w:pPr>
      <w:r>
        <w:rPr>
          <w:sz w:val="21"/>
        </w:rPr>
        <w:t>Équipe fondatrice actuelle : deux personnes.</w:t>
        <w:br/>
        <w:t>- Jean-Éric Godard : création, conception et vision produit.</w:t>
        <w:br/>
        <w:t>- Sylvain Godard : commercial et administratif.</w:t>
        <w:br/>
        <w:t>Les deux fondateurs interviennent de manière transversale selon les besoins du projet.</w:t>
        <w:br/>
        <w:br/>
        <w:t>L’IA est utilisée comme outil de conception et de développement, mais n’est pas présentée comme un membre de l’équipe.</w:t>
      </w:r>
    </w:p>
    <w:p>
      <w:r>
        <w:rPr>
          <w:sz w:val="21"/>
        </w:rPr>
      </w:r>
    </w:p>
    <w:p>
      <w:r>
        <w:rPr>
          <w:sz w:val="21"/>
        </w:rPr>
      </w:r>
    </w:p>
    <w:p/>
    <w:p>
      <w:pPr>
        <w:pStyle w:val="Heading1"/>
      </w:pPr>
      <w:r>
        <w:t>14. Prévisions financières et hypothèses</w:t>
      </w:r>
    </w:p>
    <w:p>
      <w:pPr>
        <w:pStyle w:val="Heading2"/>
      </w:pPr>
      <w:r>
        <w:t>Objectif</w:t>
      </w:r>
    </w:p>
    <w:p>
      <w:pPr>
        <w:spacing w:after="120"/>
      </w:pPr>
      <w:r>
        <w:rPr>
          <w:sz w:val="21"/>
        </w:rPr>
        <w:t>Présenter un modèle financier cohérent et traçable.</w:t>
      </w:r>
    </w:p>
    <w:p>
      <w:pPr>
        <w:pStyle w:val="Heading2"/>
      </w:pPr>
      <w:r>
        <w:rPr>
          <w:b/>
        </w:rPr>
        <w:t>Contenu établi à ce stade</w:t>
      </w:r>
    </w:p>
    <w:p>
      <w:pPr>
        <w:spacing w:after="120"/>
      </w:pPr>
      <w:r>
        <w:t>Décision de cadrage : retenir un runway cible de 24 mois pour les deux fondateurs. Le budget détaillé sur 24 mois ne sera pas figé dans le résumé exécutif : il sera construit plus tard dans les prévisions financières, à partir d’un budget mensuel complet (rémunération des deux fondateurs, matériel, IA/API/tokens, infrastructure, juridique, communication, commercialisation et réserve).</w:t>
        <w:br/>
        <w:br/>
        <w:t>Les estimations précédentes établies sur 18 mois (ordre de grandeur global de 1,3 à 2,2 M€ pour une phase d’accélération plus large) sont conservées uniquement comme repère provisoire. Elles devront être recalculées sur 24 mois avant de fixer le besoin de financement définitif.</w:t>
      </w:r>
    </w:p>
    <w:p>
      <w:r>
        <w:rPr>
          <w:sz w:val="21"/>
        </w:rPr>
      </w:r>
    </w:p>
    <w:p>
      <w:r>
        <w:rPr>
          <w:sz w:val="21"/>
        </w:rPr>
      </w:r>
    </w:p>
    <w:p/>
    <w:p>
      <w:pPr>
        <w:pStyle w:val="Heading1"/>
      </w:pPr>
      <w:r>
        <w:t>15. Besoin de financement et utilisation des fonds</w:t>
      </w:r>
    </w:p>
    <w:p>
      <w:pPr>
        <w:pStyle w:val="Heading2"/>
      </w:pPr>
      <w:r>
        <w:t>Objectif</w:t>
      </w:r>
    </w:p>
    <w:p>
      <w:pPr>
        <w:spacing w:after="120"/>
      </w:pPr>
      <w:r>
        <w:rPr>
          <w:sz w:val="21"/>
        </w:rPr>
        <w:t>Expliquer précisément combien est recherché, pour quoi faire et quels résultats seront obtenus.</w:t>
      </w:r>
    </w:p>
    <w:p>
      <w:pPr>
        <w:pStyle w:val="Heading2"/>
      </w:pPr>
      <w:r>
        <w:rPr>
          <w:b/>
        </w:rPr>
        <w:t>Contenu établi à ce stade</w:t>
      </w:r>
    </w:p>
    <w:p>
      <w:pPr>
        <w:spacing w:after="120"/>
      </w:pPr>
      <w:r>
        <w:t>PHASE 1 — AMORÇAGE COURT</w:t>
        <w:br/>
        <w:t>Runway cible : 24 mois pour permettre aux deux fondateurs de finaliser le produit, préparer et conduire le lancement, mener les actions de communication/publicité et laisser le temps aux premiers revenus récurrents de se mettre en place.</w:t>
        <w:br/>
        <w:br/>
        <w:t>L’enveloppe de 60 000 à 120 000 € précédemment envisagée est conservée comme première hypothèse d’amorçage à court terme, mais elle ne couvre pas à elle seule 24 mois de travail à deux, le matériel, l’IA et le lancement. Le besoin global de phase 1 devra donc être recalculé à partir d’un budget mensuel détaillé.</w:t>
        <w:br/>
        <w:br/>
        <w:t>Le crowdfunding n’est qu’une composante de cette phase : objectif indicatif de 20 000 à 50 000 €, complété par des aides publiques, prêts d’honneur et dispositifs régionaux.</w:t>
        <w:br/>
        <w:br/>
        <w:t>Utilisation prioritaire :</w:t>
        <w:br/>
        <w:t>- permettre aux deux fondateurs de se consacrer pleinement au projet ;</w:t>
        <w:br/>
        <w:t>- acheter le matériel informatique et les équipements nécessaires ;</w:t>
        <w:br/>
        <w:t>- financer les services IA, API et tokens utilisés pour accélérer et fiabiliser le développement ;</w:t>
        <w:br/>
        <w:t>- finaliser la bêta ;</w:t>
        <w:br/>
        <w:t>- préparer le lancement, la communication et la première communauté d’utilisateurs.</w:t>
        <w:br/>
        <w:br/>
        <w:t>Pistes de cofinancement vérifiées au 23 septembre 2026 :</w:t>
        <w:br/>
        <w:t>- Initiative Clermont Auvergne Métropole : prêt d’honneur de 2 000 à 25 000 €, à taux 0 %, sans garantie personnelle. Chamalières fait partie du territoire couvert. Le dispositif doit être couplé à un prêt bancaire professionnel.</w:t>
        <w:br/>
        <w:t>- Réseau Entreprendre Auvergne : prêt d’honneur de 15 000 à 75 000 € dans le cadre du programme Start, pour des projets présentant notamment un potentiel de création de 3 à 5 emplois sous trois ans.</w:t>
        <w:br/>
        <w:t>- Bourse French Tech / Bpifrance : aide pouvant aller jusqu’à 30 000 €, susceptible de couvrir jusqu’à 70 % des dépenses éligibles selon le projet et son instruction.</w:t>
        <w:br/>
        <w:t>- Région Auvergne-Rhône-Alpes : dispositifs identifiés pour « Développer ma start-up », « Renforcer les fonds propres de mon entreprise du numérique » et plusieurs aides à l’innovation. Les conditions précises devront être étudiées en fonction du statut de la structure et des dépenses retenues.</w:t>
        <w:br/>
        <w:t>- Aide régionale « Innover par les usages » : prise en charge de 50 % d’une prestation externe, dans la limite de 8 000 €, utile pour des démarches UX/tests utilisateurs mais ne constituant pas une aide générale d’achat de matériel.</w:t>
        <w:br/>
        <w:t>- Matériel informatique : aucune subvention régionale générale dédiée uniquement à l’achat d’ordinateurs n’a été confirmée à ce stade. Le matériel devra être intégré au plan global de financement ou rattaché à un dispositif dans lequel il constitue une dépense éligible.</w:t>
        <w:br/>
        <w:br/>
        <w:t>Sources de vérification :</w:t>
        <w:br/>
        <w:t>- Initiative Clermont Auvergne Métropole — « Un financement à taux 0 et sans garantie »</w:t>
        <w:br/>
        <w:t>- Réseau Entreprendre Auvergne — programme Start</w:t>
        <w:br/>
        <w:t>- Bpifrance Création / Bourse French Tech</w:t>
        <w:br/>
        <w:t>- Région Auvergne-Rhône-Alpes — portail des aides</w:t>
        <w:br/>
        <w:t>- Campus Région du numérique — « Innover par les usages »</w:t>
        <w:br/>
        <w:br/>
        <w:t>PHASE 2 — ACCÉLÉRATION</w:t>
        <w:br/>
        <w:t>Fourchette de travail : 1 à 2 M€.</w:t>
        <w:br/>
        <w:t>Hypothèse centrale : environ 1,5 M€.</w:t>
        <w:br/>
        <w:t>Cette phase pourrait combiner levée de fonds, aides et financements Bpifrance. Elle financerait la montée en puissance de l’équipe, l’infrastructure cloud et IA, la sécurité et la conformité, le marketing, le lancement commercial et la capacité à absorber la croissance.</w:t>
      </w:r>
    </w:p>
    <w:p>
      <w:r>
        <w:rPr>
          <w:sz w:val="21"/>
        </w:rPr>
      </w:r>
    </w:p>
    <w:p>
      <w:r>
        <w:rPr>
          <w:sz w:val="21"/>
        </w:rPr>
      </w:r>
    </w:p>
    <w:p/>
    <w:p>
      <w:pPr>
        <w:pStyle w:val="Heading1"/>
      </w:pPr>
      <w:r>
        <w:t>16. Risques et mesures de mitigation</w:t>
      </w:r>
    </w:p>
    <w:p>
      <w:pPr>
        <w:pStyle w:val="Heading2"/>
      </w:pPr>
      <w:r>
        <w:t>Objectif</w:t>
      </w:r>
    </w:p>
    <w:p>
      <w:pPr>
        <w:spacing w:after="120"/>
      </w:pPr>
      <w:r>
        <w:rPr>
          <w:sz w:val="21"/>
        </w:rPr>
        <w:t>Identifier les risques sans les minimiser et montrer comment ils seront maîtrisés.</w:t>
      </w:r>
    </w:p>
    <w:p>
      <w:pPr>
        <w:pStyle w:val="Heading2"/>
      </w:pPr>
      <w:r>
        <w:t>À compléter</w:t>
      </w:r>
    </w:p>
    <w:p>
      <w:pPr>
        <w:spacing w:after="120"/>
      </w:pPr>
      <w:r>
        <w:rPr>
          <w:sz w:val="21"/>
        </w:rPr>
        <w:t>Risques techniques ; marché ; concurrence ; financement ; juridique ; cybersécurité ; dépendances fournisseurs ; calendrier ; plans de mitigation.</w:t>
      </w:r>
    </w:p>
    <w:p>
      <w:r>
        <w:rPr>
          <w:sz w:val="21"/>
        </w:rPr>
        <w:t>Notes de travail : ________________________________________________</w:t>
      </w:r>
    </w:p>
    <w:p>
      <w:r>
        <w:rPr>
          <w:sz w:val="21"/>
        </w:rPr>
        <w:t>________________________________________________________________</w:t>
      </w:r>
    </w:p>
    <w:p/>
    <w:p>
      <w:pPr>
        <w:pStyle w:val="Heading1"/>
      </w:pPr>
      <w:r>
        <w:t>17. Impact économique, social et environnemental</w:t>
      </w:r>
    </w:p>
    <w:p>
      <w:pPr>
        <w:pStyle w:val="Heading2"/>
      </w:pPr>
      <w:r>
        <w:t>Objectif</w:t>
      </w:r>
    </w:p>
    <w:p>
      <w:pPr>
        <w:spacing w:after="120"/>
      </w:pPr>
      <w:r>
        <w:rPr>
          <w:sz w:val="21"/>
        </w:rPr>
        <w:t>Présenter les impacts positifs attendus lorsque cela est pertinent pour le financeur.</w:t>
      </w:r>
    </w:p>
    <w:p>
      <w:pPr>
        <w:pStyle w:val="Heading2"/>
      </w:pPr>
      <w:r>
        <w:t>À compléter</w:t>
      </w:r>
    </w:p>
    <w:p>
      <w:pPr>
        <w:spacing w:after="120"/>
      </w:pPr>
      <w:r>
        <w:rPr>
          <w:sz w:val="21"/>
        </w:rPr>
        <w:t>Emplois ; souveraineté ; productivité ; accessibilité ; inclusion ; environnement ; indicateurs d’impact ; engagements.</w:t>
      </w:r>
    </w:p>
    <w:p>
      <w:r>
        <w:rPr>
          <w:sz w:val="21"/>
        </w:rPr>
        <w:t>Notes de travail : ________________________________________________</w:t>
      </w:r>
    </w:p>
    <w:p>
      <w:r>
        <w:rPr>
          <w:sz w:val="21"/>
        </w:rPr>
        <w:t>________________________________________________________________</w:t>
      </w:r>
    </w:p>
    <w:p/>
    <w:p>
      <w:pPr>
        <w:pStyle w:val="Heading1"/>
      </w:pPr>
      <w:r>
        <w:t>18. Cadre juridique, administratif et conformité</w:t>
      </w:r>
    </w:p>
    <w:p>
      <w:pPr>
        <w:pStyle w:val="Heading2"/>
      </w:pPr>
      <w:r>
        <w:t>Objectif</w:t>
      </w:r>
    </w:p>
    <w:p>
      <w:pPr>
        <w:spacing w:after="120"/>
      </w:pPr>
      <w:r>
        <w:rPr>
          <w:sz w:val="21"/>
        </w:rPr>
        <w:t>Rassembler les éléments de conformité et de solidité administrative du projet.</w:t>
      </w:r>
    </w:p>
    <w:p>
      <w:pPr>
        <w:pStyle w:val="Heading2"/>
      </w:pPr>
      <w:r>
        <w:t>À compléter</w:t>
      </w:r>
    </w:p>
    <w:p>
      <w:pPr>
        <w:spacing w:after="120"/>
      </w:pPr>
      <w:r>
        <w:rPr>
          <w:sz w:val="21"/>
        </w:rPr>
        <w:t>Structure juridique ; capital ; actionnariat ; contrats ; RGPD ; licences ; assurances ; conformité réglementaire ; propriété des actifs.</w:t>
      </w:r>
    </w:p>
    <w:p>
      <w:r>
        <w:rPr>
          <w:sz w:val="21"/>
        </w:rPr>
        <w:t>Notes de travail : ________________________________________________</w:t>
      </w:r>
    </w:p>
    <w:p>
      <w:r>
        <w:rPr>
          <w:sz w:val="21"/>
        </w:rPr>
        <w:t>________________________________________________________________</w:t>
      </w:r>
    </w:p>
    <w:p/>
    <w:p>
      <w:pPr>
        <w:pStyle w:val="Heading1"/>
      </w:pPr>
      <w:r>
        <w:t>19. Demande au financeur / proposition d’investissement</w:t>
      </w:r>
    </w:p>
    <w:p>
      <w:pPr>
        <w:pStyle w:val="Heading2"/>
      </w:pPr>
      <w:r>
        <w:t>Objectif</w:t>
      </w:r>
    </w:p>
    <w:p>
      <w:pPr>
        <w:spacing w:after="120"/>
      </w:pPr>
      <w:r>
        <w:rPr>
          <w:sz w:val="21"/>
        </w:rPr>
        <w:t>Formuler une demande directe et compréhensible.</w:t>
      </w:r>
    </w:p>
    <w:p>
      <w:pPr>
        <w:pStyle w:val="Heading2"/>
      </w:pPr>
      <w:r>
        <w:rPr>
          <w:b/>
        </w:rPr>
        <w:t>Contenu établi à ce stade</w:t>
      </w:r>
    </w:p>
    <w:p>
      <w:pPr>
        <w:spacing w:after="120"/>
      </w:pPr>
      <w:r>
        <w:t>Schéma envisagé à ce stade :</w:t>
        <w:br/>
        <w:t>- phase d’amorçage : mix crowdfunding + aides + prêts d’honneur / financements locaux, avec un objectif de runway de 24 mois ; le montant exact doit être recalculé car l’hypothèse 60–120 k€ ne suffit pas à financer deux fondateurs pendant deux ans avec matériel, IA et lancement ;</w:t>
        <w:br/>
        <w:t>- crowdfunding indicatif : 20 à 50 k€ ;</w:t>
        <w:br/>
        <w:t>- accélération : cible de travail autour de 1,5 M€, dans une fourchette de 1 à 2 M€, avec combinaison possible de capital, aides et financements Bpifrance.</w:t>
        <w:br/>
        <w:br/>
        <w:t>La demande finale sera adaptée au type de financeur et reliée à un calendrier, des jalons mesurables et un budget consolidé.</w:t>
      </w:r>
    </w:p>
    <w:p>
      <w:r>
        <w:rPr>
          <w:sz w:val="21"/>
        </w:rPr>
      </w:r>
    </w:p>
    <w:p>
      <w:r>
        <w:rPr>
          <w:sz w:val="21"/>
        </w:rPr>
      </w:r>
    </w:p>
    <w:p/>
    <w:p>
      <w:pPr>
        <w:pStyle w:val="Heading1"/>
      </w:pPr>
      <w:r>
        <w:t>20. Annexes</w:t>
      </w:r>
    </w:p>
    <w:p>
      <w:pPr>
        <w:pStyle w:val="Heading2"/>
      </w:pPr>
      <w:r>
        <w:t>Objectif</w:t>
      </w:r>
    </w:p>
    <w:p>
      <w:pPr>
        <w:spacing w:after="120"/>
      </w:pPr>
      <w:r>
        <w:rPr>
          <w:sz w:val="21"/>
        </w:rPr>
        <w:t>Regrouper les éléments de preuve et documents trop détaillés pour le corps principal.</w:t>
      </w:r>
    </w:p>
    <w:p>
      <w:pPr>
        <w:pStyle w:val="Heading2"/>
      </w:pPr>
      <w:r>
        <w:t>À compléter</w:t>
      </w:r>
    </w:p>
    <w:p>
      <w:pPr>
        <w:spacing w:after="120"/>
      </w:pPr>
      <w:r>
        <w:rPr>
          <w:sz w:val="21"/>
        </w:rPr>
        <w:t>CV ; prévisionnels détaillés ; études de marché ; schémas techniques ; lettres d’intérêt ; références ; captures produit ; contrats ; documents juridiques ; propriété intellectuelle.</w:t>
      </w:r>
    </w:p>
    <w:p>
      <w:r>
        <w:rPr>
          <w:sz w:val="21"/>
        </w:rPr>
        <w:t>Notes de travail : ________________________________________________</w:t>
      </w:r>
    </w:p>
    <w:p>
      <w:r>
        <w:rPr>
          <w:sz w:val="21"/>
        </w:rPr>
        <w:t>________________________________________________________________</w:t>
      </w:r>
    </w:p>
    <w:p/>
    <w:p>
      <w:r>
        <w:rPr>
          <w:sz w:val="21"/>
        </w:rPr>
        <w:br w:type="page"/>
      </w:r>
    </w:p>
    <w:p>
      <w:pPr>
        <w:pStyle w:val="Heading1"/>
      </w:pPr>
      <w:r>
        <w:t>Méthode de travail</w:t>
      </w:r>
    </w:p>
    <w:p>
      <w:pPr>
        <w:pStyle w:val="ListBullet"/>
      </w:pPr>
      <w:r>
        <w:t>Ce document est le dossier maître. Chaque rubrique peut être complétée séparément puis consolidée ici.</w:t>
      </w:r>
    </w:p>
    <w:p>
      <w:pPr>
        <w:pStyle w:val="ListBullet"/>
      </w:pPr>
      <w:r>
        <w:t>Les versions destinées à un financeur précis pourront être raccourcies, réordonnées ou reformulées sans perdre le contenu source.</w:t>
      </w:r>
    </w:p>
    <w:p>
      <w:pPr>
        <w:pStyle w:val="ListBullet"/>
      </w:pPr>
      <w:r>
        <w:t>Les affirmations importantes devront être accompagnées de chiffres, sources, preuves ou hypothèses explicites.</w:t>
      </w:r>
    </w:p>
    <w:p>
      <w:pPr>
        <w:pStyle w:val="ListBullet"/>
      </w:pPr>
      <w:r>
        <w:t>Les parties financières et marché devront rester cohérentes entre elles à chaque mise à jour.</w:t>
      </w:r>
    </w:p>
    <w:p>
      <w:r>
        <w:br w:type="page"/>
      </w:r>
    </w:p>
    <w:p>
      <w:pPr>
        <w:pStyle w:val="Heading1"/>
      </w:pPr>
      <w:r>
        <w:t>Consolidation du questionnaire — 30 septembre 2026</w:t>
      </w:r>
    </w:p>
    <w:p>
      <w:pPr>
        <w:pStyle w:val="Heading2"/>
      </w:pPr>
      <w:r>
        <w:t>Mission et positionnement</w:t>
      </w:r>
    </w:p>
    <w:p>
      <w:r>
        <w:t>atome/eVe propose un environnement informatique souverain centré sur l’utilisateur, ses projets et ses objectifs, unifiant outils, contenus et intelligences artificielles dans une interface cohérente, capable de fonctionner localement et hors ligne, et conçu pour redonner à chacun la maîtrise de son environnement numérique, de sa vie privée et de ses données, avec la sécurité comme principe fondamental.</w:t>
      </w:r>
    </w:p>
    <w:p>
      <w:r>
        <w:t>L’ambition est de créer en France une solution souveraine à vocation européenne et mondiale. eVe vise notamment à fournir une représentation graphique cohérente à des IA de fournisseurs différents, via une couche commune d’interface et des connexions API/MCP. L’objectif d’une norme commune d’UI pour les IA est une ambition à construire, et non une norme déjà existante.</w:t>
      </w:r>
    </w:p>
    <w:p>
      <w:pPr>
        <w:pStyle w:val="Heading2"/>
      </w:pPr>
      <w:r>
        <w:t>Architecture et ouverture</w:t>
      </w:r>
    </w:p>
    <w:p>
      <w:r>
        <w:t>Le projet est structuré en trois composantes. atome constitue la fondation technologique et le noyau modulaire open source. eVe constitue l’environnement utilisateur, l’interface graphique et le système d’outils propriétaires. Une troisième composante autonome doit être développée : une brique française de sécurité, transverse, open source, intégrée à atome/eVe mais réutilisable par d’autres applications.</w:t>
      </w:r>
    </w:p>
    <w:p>
      <w:r>
        <w:t>Cette brique de sécurité dispose d’un cahier des charges spécifique et est particulièrement importante parce que certains usages concernent des données de santé. Le fonctionnement multiplateforme est déjà présent. Le mode boot sur appareil, certaines optimisations, la sécurité, les performances, l’ergonomie et l’industrialisation restent à consolider.</w:t>
      </w:r>
    </w:p>
    <w:p>
      <w:pPr>
        <w:pStyle w:val="Heading2"/>
      </w:pPr>
      <w:r>
        <w:t>Maturité, UCA et validation</w:t>
      </w:r>
    </w:p>
    <w:p>
      <w:r>
        <w:t>Le prototype est en alpha avancée, proche d’une bêta. Environ 90 % des fonctionnalités métier prévues à ce stade sont déjà présentes ; ce chiffre ne signifie pas que l’industrialisation est terminée.</w:t>
      </w:r>
    </w:p>
    <w:p>
      <w:r>
        <w:t>Le partenariat avec l’Université Clermont Auvergne constitue une validation extérieure et un terrain d’expérimentation. Le projet lié aux établissements thermaux couvre des objectifs de santé et de bien-être — sommeil, poids, douleur, activité physique, nutrition, méditation — ainsi que réseau, échanges, journal personnel, audio et vidéo. Il oblige ainsi à développer une grande partie du socle général d’atome/eVe.</w:t>
      </w:r>
    </w:p>
    <w:p>
      <w:r>
        <w:t>L’UCA a obtenu, pour son propre projet, un financement FEDER de plus d’un million d’euros selon les informations communiquées. atome/eVe/Comme Une Image n’est pas bénéficiaire direct de ces fonds ; ce contexte constitue néanmoins un levier de crédibilité et un écosystème partenaire déjà financé.</w:t>
      </w:r>
    </w:p>
    <w:p>
      <w:pPr>
        <w:pStyle w:val="Heading2"/>
      </w:pPr>
      <w:r>
        <w:t>Marché et déploiement</w:t>
      </w:r>
    </w:p>
    <w:p>
      <w:r>
        <w:t>Le produit est conçu dès l’origine pour un marché mondial, sans que la souveraineté française et européenne implique une limitation géographique. Le déploiement sera toutefois progressif et adapté aux financements : pilote local/UCA, bêta publique, puis Auvergne ou marché de niche, France, Europe et enfin monde selon les moyens disponibles.</w:t>
      </w:r>
    </w:p>
    <w:p>
      <w:r>
        <w:t>Une déclinaison dédiée à la création musicale est envisagée comme marché de niche possible, sans constituer à ce stade un engagement ferme.</w:t>
      </w:r>
    </w:p>
    <w:p>
      <w:pPr>
        <w:pStyle w:val="Heading2"/>
      </w:pPr>
      <w:r>
        <w:t>Concurrence</w:t>
      </w:r>
    </w:p>
    <w:p>
      <w:r>
        <w:t>La concurrence est fragmentée. De nombreux acteurs concurrencent certaines briques prises séparément — OS, création, collaboration, IA, santé, productivité, services numériques — mais aucun concurrent direct identifié dans le benchmark ne réunit à ce jour l’ensemble du concept sous la même architecture.</w:t>
      </w:r>
    </w:p>
    <w:p>
      <w:r>
        <w:t>Les références partielles les plus proches comprennent notamment Apple, Google, Microsoft, OpenAI, Adobe, Notion, Mistral AI et Proton. La différenciation d’atome/eVe est systémique : projets et objectifs, contenus et outils modulaires, multi-IA, continuité multiplateforme, fonctionnement local/offline, environnement informatique individuel, maîtrise des données et souveraineté européenne.</w:t>
      </w:r>
    </w:p>
    <w:p>
      <w:pPr>
        <w:pStyle w:val="Heading2"/>
      </w:pPr>
      <w:r>
        <w:t>Modèle économique</w:t>
      </w:r>
    </w:p>
    <w:p>
      <w:r>
        <w:t>Le modèle est mixte : socle freemium utilisable localement et hors ligne ; abonnement pour les fonctions connectées et les services en ligne ; suppléments possibles liés aux coûts variables des IA/tokens ; vente d’outils et modules ; marketplace de créations, outils ou services avec commission envisagée autour de 1 à 2 %, à valider juridiquement et économiquement.</w:t>
      </w:r>
    </w:p>
    <w:p>
      <w:r>
        <w:t>Deux visions de financement/capital restent à challenger. Scénario A : pas d’ouverture du capital, financement privé par prêts remboursables ou rémunération indexée sur les ventes. Scénario B : distribution progressive d’une part minoritaire du capital aux utilisateurs, avec maintien d’au moins 52 % du capital par les fondateurs. Ce second scénario nécessite une étude juridique et financière approfondie. Les fondateurs ne visent pas une entrée en Bourse et souhaitent préserver l’indépendance, l’éthique, l’utilité du produit et la souveraineté.</w:t>
      </w:r>
    </w:p>
    <w:p>
      <w:pPr>
        <w:pStyle w:val="Heading2"/>
      </w:pPr>
      <w:r>
        <w:t>Historique, structure et apports</w:t>
      </w:r>
    </w:p>
    <w:p>
      <w:r>
        <w:t>Le projet est porté par Jean-Éric Godard et Sylvain Godard. La structure contractuelle actuelle est la SAS Comme Une Image, notamment parce que le contrat avec l’UCA a été conclu avec elle. Une structure dédiée à atome/eVe est envisagée une fois ce cadre stabilisé.</w:t>
      </w:r>
    </w:p>
    <w:p>
      <w:r>
        <w:t>Le projet s’inscrit dans environ dix ans de R&amp;D, avec une première société Atome créée en 2014. Selon les éléments communiqués par les fondateurs, cette société a cessé son activité à la suite d’une erreur grave d’écriture comptable reconnue : des dépenses de R&amp;D n’avaient pas été immobilisées, ce qui a dégradé les fonds propres, bloqué des financements et contribué à l’annulation d’une prévente, alors que la technologie fonctionnait et que la société disposait de trésorerie.</w:t>
      </w:r>
    </w:p>
    <w:p>
      <w:r>
        <w:t>Les fondateurs ont déjà investi du temps, du matériel, des serveurs et des fonds. Sur les six derniers mois, Jean-Éric Godard a travaillé quasi à temps complet, souvent week-ends compris ; Sylvain Godard y consacre également du temps.</w:t>
      </w:r>
    </w:p>
    <w:p>
      <w:pPr>
        <w:pStyle w:val="Heading2"/>
      </w:pPr>
      <w:r>
        <w:t>Roadmap 24 mois</w:t>
      </w:r>
    </w:p>
    <w:p>
      <w:r>
        <w:t>Les jalons retenus sont : finalisation du socle et du prototype testable ; pilote avec l’UCA et les établissements thermaux ; recherche éventuelle d’autres partenaires français/européens ; bêta publique ; consolidation sécurité, performances, ergonomie et industrialisation ; commercialisation progressive selon les financements ; préparation en fin de période d’une seconde levée plus importante dédiée à l’accélération commerciale, à la force de vente, au marketing, aux serveurs et à la sécurité opérationnelle.</w:t>
      </w:r>
    </w:p>
    <w:p>
      <w:pPr>
        <w:pStyle w:val="Heading2"/>
      </w:pPr>
      <w:r>
        <w:t>Besoin de financement</w:t>
      </w:r>
    </w:p>
    <w:p>
      <w:r>
        <w:t>Besoin cible : environ 500 000 € sur 24 mois.</w:t>
      </w:r>
    </w:p>
    <w:p>
      <w:r>
        <w:t>Répartition de travail : 150 000 € pour le développement et l’industrialisation ; 100 000 € pour la brique de sécurité transverse open source ; 250 000 € pour le lancement et la mise sur le marché, comprenant infrastructure et serveurs, création de contenus, communication, influence/créateurs de contenu, publicité ciblée, acquisition utilisateurs et montée en charge.</w:t>
      </w:r>
    </w:p>
    <w:p>
      <w:r>
        <w:t>Calendrier : 50 000 € rapidement, idéalement dans les prochains mois et au plus tard début 2027, pour finaliser le socle/prototype, tester, héberger, acheter du matériel et assurer une rémunération minimale des dirigeants ; 200 000 € à environ 6–8 mois, dont 100 000 € de développement et 100 000 € de sécurité ; 250 000 € plus tard dans la période, potentiellement jusqu’au dernier trimestre des 24 mois, pour le lancement et la commercialisation.</w:t>
      </w:r>
    </w:p>
    <w:p>
      <w:pPr>
        <w:pStyle w:val="Heading2"/>
      </w:pPr>
      <w:r>
        <w:t>Risques</w:t>
      </w:r>
    </w:p>
    <w:p>
      <w:r>
        <w:t>Le risque principal identifié est l’insuffisance de moyens financiers. Elle peut affecter la qualité du produit, la sécurité, les performances, les serveurs et la montée en charge, la hotline et le SAV, la maintenance, la capacité à servir correctement les utilisateurs et l’évolution future du produit. La stratégie de mitigation repose sur un financement par tranches et un déploiement adaptable aux ressources disponibles.</w:t>
      </w:r>
    </w:p>
    <w:p>
      <w:pPr>
        <w:pStyle w:val="Heading2"/>
      </w:pPr>
      <w:r>
        <w:t>Critères de réussite</w:t>
      </w:r>
    </w:p>
    <w:p>
      <w:r>
        <w:t>À 24 mois, la réussite sera évaluée par la finalisation et la commercialisation du produit, le nombre d’utilisateurs et d’utilisateurs actifs, les revenus, l’étendue du déploiement, les partenaires, la satisfaction des utilisateurs, la qualité du support et le bouche-à-oreille. La capacité du produit à susciter une forte adhésion — jusqu’à être perçu comme améliorant concrètement la vie et les projets des utilisateurs — constitue un indicateur qualitatif important.</w:t>
      </w:r>
    </w:p>
    <w:p>
      <w:pPr>
        <w:pStyle w:val="Heading2"/>
      </w:pPr>
      <w:r>
        <w:t>Pistes de financement à challenger</w:t>
      </w:r>
    </w:p>
    <w:p>
      <w:r>
        <w:t>Priorité aux financements non dilutifs lorsque cela est possible : Bpifrance et dispositifs d’aide à l’innovation/R&amp;D ; Bourse French Tech selon éligibilité ; dispositifs France 2030 pertinents ; Région Auvergne-Rhône-Alpes ; Initiative Clermont Auvergne Métropole ; Réseau Entreprendre Auvergne ; dispositifs européens Digital Europe, EIC/Horizon Europe et appels cybersécurité ; dispositifs liés à l’innovation, au numérique souverain et à la cybersécurité ; accompagnement UCA/Clermont Auvergne Innovation. Chaque guichet devra être revérifié au moment du dépôt pour l’éligibilité, les dates et les dépenses admissibles.</w:t>
      </w:r>
    </w:p>
    <w:p>
      <w:r>
        <w:br w:type="page"/>
      </w:r>
    </w:p>
    <w:p>
      <w:pPr>
        <w:pStyle w:val="Heading1"/>
      </w:pPr>
      <w:r>
        <w:t>ANNEXE INTERNE — Questions fréquentes / challenge financeurs</w:t>
      </w:r>
    </w:p>
    <w:p>
      <w:r>
        <w:rPr>
          <w:b/>
        </w:rPr>
        <w:t>Document de travail interne — ne pas transmettre tel quel aux financeurs.</w:t>
      </w:r>
    </w:p>
    <w:p>
      <w:r>
        <w:t>Objectif : préparer les réponses aux questions susceptibles d’être posées par un investisseur, un financeur public, une banque ou un partenaire. Les questions sont traitées une par une. Chaque réponse est conservée ici, puis évaluée sur sa clarté, sa crédibilité, sa précision et sa capacité à résister à une relance.</w:t>
      </w:r>
    </w:p>
    <w:p>
      <w:pPr>
        <w:pStyle w:val="Heading2"/>
      </w:pPr>
      <w:r>
        <w:t>Question 1 — Pourquoi maintenant ?</w:t>
      </w:r>
    </w:p>
    <w:p>
      <w:r>
        <w:t>Pourquoi est-ce le bon moment pour financer atome/eVe maintenant ? Qu’est-ce qui a changé dans le marché, la technologie ou le projet pour rendre cette fenêtre particulièrement pertinente ?</w:t>
      </w:r>
    </w:p>
    <w:p>
      <w:r>
        <w:t>Réponse des fondateurs : [à compléter après entretien]</w:t>
      </w:r>
    </w:p>
    <w:p>
      <w:r>
        <w:t>Évaluation : [à compléter]</w:t>
      </w:r>
    </w:p>
    <w:p>
      <w:r>
        <w:t>Relances éventuelles : [à compléter]</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eVe — Dossier type de recherche de financement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