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Algo-Agent Version Notes v1.0</w:t>
      </w:r>
    </w:p>
    <w:p>
      <w:pPr>
        <w:pStyle w:val="Heading1"/>
      </w:pPr>
      <w:r>
        <w:t>Scope of this implementation</w:t>
      </w:r>
    </w:p>
    <w:p>
      <w:r>
        <w:t>Implements the Codex development guide v1.2 against architecture design v0.4: conversational CLI, control service, LangGraph lifecycle with interrupt-based approval, research-design and Codex coding sub-agents, evidence service, asset registry, reproduction/migration interfaces, token budget and DOCX records.</w:t>
      </w:r>
    </w:p>
    <w:p>
      <w:pPr>
        <w:pStyle w:val="Heading1"/>
      </w:pPr>
      <w:r>
        <w:t>Verified offline</w:t>
      </w:r>
    </w:p>
    <w:p>
      <w:pPr>
        <w:pStyle w:val="ListBullet"/>
      </w:pPr>
      <w:r>
        <w:t>M0-M2 end-to-end offline loop on deterministic synthetic tabular data</w:t>
      </w:r>
    </w:p>
    <w:p>
      <w:pPr>
        <w:pStyle w:val="ListBullet"/>
      </w:pPr>
      <w:r>
        <w:t>approval hash invalidation, idempotent job submission, data immutability</w:t>
      </w:r>
    </w:p>
    <w:p>
      <w:pPr>
        <w:pStyle w:val="ListBullet"/>
      </w:pPr>
      <w:r>
        <w:t>feedback version attribution, budget control, run recovery</w:t>
      </w:r>
    </w:p>
    <w:p>
      <w:pPr>
        <w:pStyle w:val="Heading1"/>
      </w:pPr>
      <w:r>
        <w:t>Pending real acceptance</w:t>
      </w:r>
    </w:p>
    <w:p>
      <w:pPr>
        <w:pStyle w:val="ListBullet"/>
      </w:pPr>
      <w:r>
        <w:t>cloud research provider requires ALGO_CLOUD_API_KEY</w:t>
      </w:r>
    </w:p>
    <w:p>
      <w:pPr>
        <w:pStyle w:val="ListBullet"/>
      </w:pPr>
      <w:r>
        <w:t>local model requires ALGO_LOCAL_BASE_URL</w:t>
      </w:r>
    </w:p>
    <w:p>
      <w:pPr>
        <w:pStyle w:val="ListBullet"/>
      </w:pPr>
      <w:r>
        <w:t>runtime Codex requires ALGO_CODEX_ALLOW_REAL=1 and CLI auth</w:t>
      </w:r>
    </w:p>
    <w:p>
      <w:pPr>
        <w:pStyle w:val="ListBullet"/>
      </w:pPr>
      <w:r>
        <w:t>target-hardware latency/ROM metrics cannot be measured without the device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