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Plan v2 Proposal</w:t>
      </w:r>
    </w:p>
    <w:p>
      <w:pPr>
        <w:pStyle w:val="Heading1"/>
      </w:pPr>
      <w:r>
        <w:t>Summary</w:t>
      </w:r>
    </w:p>
    <w:p>
      <w:r>
        <w:t>&gt; RESEARCH MODE: research reasoning produced by the cloud model `deepseek-flash`; new implementations and data experiments are permitted; acceptance targets remain fixed.</w:t>
        <w:br/>
        <w:br/>
        <w:t>## LLM research analysis</w:t>
        <w:br/>
        <w:br/>
        <w:t>### What iteration 1 actually measured</w:t>
        <w:br/>
        <w:t>Nothing. Two execution failures block the record. (1) `run_b6e0bd3aa9a9_v1_mobileclip2_v7_score` died with `FileNotFoundError` — the MobileCLIP2-S0 backbone and `i</w:t>
      </w:r>
    </w:p>
    <w:p>
      <w:pPr>
        <w:pStyle w:val="Heading1"/>
      </w:pPr>
      <w:r>
        <w:t>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family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expected_gain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c1_score_moe_reference</w:t>
            </w:r>
          </w:p>
        </w:tc>
        <w:tc>
          <w:tcPr>
            <w:tcW w:type="dxa" w:w="1234"/>
          </w:tcPr>
          <w:p>
            <w:r>
              <w:t>score_moe</w:t>
            </w:r>
          </w:p>
        </w:tc>
        <w:tc>
          <w:tcPr>
            <w:tcW w:type="dxa" w:w="1234"/>
          </w:tcPr>
          <w:p>
            <w:r>
              <w:t>zero_rom_reference_ordinal_moe</w:t>
            </w:r>
          </w:p>
        </w:tc>
        <w:tc>
          <w:tcPr>
            <w:tcW w:type="dxa" w:w="1234"/>
          </w:tcPr>
          <w:p>
            <w:r>
              <w:t>Reuse the reference zero-ROM method unchanged on release v1 (train 445 incl. 120 hflip rows, development_test 85) to obtain this run's own measured reference after the iteration-1 backbone outage. CPU-only, no checkpoint, no code change; defect side uses the calibrated physical measurement rule.</w:t>
            </w:r>
          </w:p>
        </w:tc>
        <w:tc>
          <w:tcPr>
            <w:tcW w:type="dxa" w:w="1234"/>
          </w:tcPr>
          <w:p>
            <w:r>
              <w:t>Reference point (delta 0 by construction). Expected measured PLCC in the 0.66-0.85 band driven by gate accuracy (docs: single regressor ~0.66, oracle gate ~0.85). No claim of meeting the 0.85 PLCC/SRCC floors; defect macro-F1 expected well below 0.85 and capped at 0.80 by zero white_balance support.</w:t>
            </w:r>
          </w:p>
        </w:tc>
        <w:tc>
          <w:tcPr>
            <w:tcW w:type="dxa" w:w="1234"/>
          </w:tcPr>
          <w:p>
            <w:r>
              <w:t>1 experiment, CPU-only (sklearn ensembles on cached 82-d+16-d features), &lt; 3 min wall clock, 0 GPU, 0 new samples, ROM estimate ~0.05 MB (descriptor rules + small calibration table).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c2_score_moe_calibrated_dose</w:t>
            </w:r>
          </w:p>
        </w:tc>
        <w:tc>
          <w:tcPr>
            <w:tcW w:type="dxa" w:w="1234"/>
          </w:tcPr>
          <w:p>
            <w:r>
              <w:t>score_moe_calibrated_aug</w:t>
            </w:r>
          </w:p>
        </w:tc>
        <w:tc>
          <w:tcPr>
            <w:tcW w:type="dxa" w:w="1234"/>
          </w:tcPr>
          <w:p>
            <w:r>
              <w:t>zero_rom_calibrated_dose_response</w:t>
            </w:r>
          </w:p>
        </w:tc>
        <w:tc>
          <w:tcPr>
            <w:tcW w:type="dxa" w:w="1234"/>
          </w:tcPr>
          <w:p>
            <w:r>
              <w:t>Minimal modify of score_moe in model_pool/: an import shim that re-exports signature-agnostic run(*a, **k)/predict(*a, **k) wrappers around the frozen plugin module, updates only DEFAULTS keys verified to exist at import time, applies a dev-out-of-fold monotone calibration to the blended score, and exposes an augmentation dose flag (0/120/240 flipped rows) for the already-materialised hflip data.</w:t>
            </w:r>
          </w:p>
        </w:tc>
        <w:tc>
          <w:tcPr>
            <w:tcW w:type="dxa" w:w="1234"/>
          </w:tcPr>
          <w:p>
            <w:r>
              <w:t>Calibration: PLCC +0.00 to +0.03 (monotone map cannot change SRCC by construction). CV/blend hparams: +0.00 to +0.02 PLCC. Augmentation dose 240 vs 0: +0.00 to +0.02 supported-class macro-F1 if flare/glare statistics are not direction-sensitive; 5-class defect macro-F1 stays capped at 0.80.</w:t>
            </w:r>
          </w:p>
        </w:tc>
        <w:tc>
          <w:tcPr>
            <w:tcW w:type="dxa" w:w="1234"/>
          </w:tcPr>
          <w:p>
            <w:r>
              <w:t>1 coded method (small shim, model_pool/score_moe_calibrated_dose/method.py), ~4 CPU-only runs (dose 0/120/240 + identity-calibration control), &lt;=40 iterations each, plus 1 extra cached feature pass for the new flipped rows; no GPU, no checkpoint, ROM ~0.05 MB.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Hypotheses &amp; controls</w:t>
      </w:r>
    </w:p>
    <w:p>
      <w:pPr>
        <w:pStyle w:val="ListBullet"/>
      </w:pPr>
      <w:r>
        <w:t>H1 (reference, measurable now): the zero-ROM score_moe reference, executed on release v1 with seed 7, yields a measurable PLCC/SRCC on the 85-row development_test split within the 0.66-0.85 documentation band, without any pretrained backbone; this is the first attributable measurement in this task after the iteration-1 asset outage.</w:t>
      </w:r>
    </w:p>
    <w:p>
      <w:pPr>
        <w:pStyle w:val="ListBullet"/>
      </w:pPr>
      <w:r>
        <w:t>H2 (gate dominates): PLCC is limited by the good-vs-defective gate rather than the severity experts, so any PLCC change should track gate accuracy/ROC-AUC, not severity-fit changes; the oracle-gate PLCC ~0.85 claim (plugin docstring) is an upper reference, not a measured result.</w:t>
      </w:r>
    </w:p>
    <w:p>
      <w:pPr>
        <w:pStyle w:val="ListBullet"/>
      </w:pPr>
      <w:r>
        <w:t>H3 (calibration): a monotone calibration fitted on dev out-of-fold predictions can raise PLCC by &gt;= 0.01 but cannot change SRCC at all (rank-preserving), so any observed SRCC change must come from the hyperparameter change, not the calibration.</w:t>
      </w:r>
    </w:p>
    <w:p>
      <w:pPr>
        <w:pStyle w:val="ListBullet"/>
      </w:pPr>
      <w:r>
        <w:t>H4 (augmentation dose): expanding hflip coverage to 240 flipped rows (vs 0 and 120) does not lower dev PLCC by more than 0.01 but may raise supported-class macro-F1 by &gt;= 0.01; a flare per-class F1 drop would falsify label-preservation for that class.</w:t>
      </w:r>
    </w:p>
    <w:p>
      <w:pPr>
        <w:pStyle w:val="ListBullet"/>
      </w:pPr>
      <w:r>
        <w:t>H5 (structural cap): the 5-class defect_macro_f1 gate 0.85 is unattainable under current label coverage (white_balance support 0 -&gt; ceiling 0.80) and flare (3 dev_test positives &lt; MIN_CLASS_SUPPORT 5) is unmeasurable; this is a coverage fact, not a model-quality statement.</w:t>
      </w:r>
    </w:p>
    <w:p>
      <w:pPr>
        <w:pStyle w:val="ListBullet"/>
      </w:pPr>
      <w:r>
        <w:t>H6 (grade agreement): grade_agreement at the configured bins (85/70/50) is measurable on this split and is more likely to clear 0.90 than PLCC/SRCC, because it only requires coarse bucket membership.</w:t>
      </w:r>
    </w:p>
    <w:p>
      <w:pPr>
        <w:pStyle w:val="ListBullet"/>
      </w:pPr>
      <w:r>
        <w:t>H7 (unresolvable noise): the good-class pseudo-MOS values 88.0-95.9 are derived from a filename hash, so pixel-independent variance is irreducible and any PLCC near 0.85 is at the ceiling for this benchmark, not a comfortable target.</w:t>
      </w:r>
    </w:p>
    <w:p>
      <w:pPr>
        <w:pStyle w:val="ListBullet"/>
      </w:pPr>
      <w:r>
        <w:t>Defect Macro-F1 is dominated by the blur, over_exp, under_exp classes; the frozen eval cannot measure white_balance (0 positives).</w:t>
      </w:r>
    </w:p>
    <w:p>
      <w:pPr>
        <w:pStyle w:val="ListBullet"/>
      </w:pPr>
      <w:r>
        <w:t>Weak classes carried over from feedback: none identified yet.</w:t>
      </w:r>
    </w:p>
    <w:p>
      <w:pPr>
        <w:pStyle w:val="ListBullet"/>
      </w:pPr>
      <w:r>
        <w:t>A frozen MobileCLIP2-S0 encoder with light multi-task heads reaches the ROM budget with headroom while beating the rule baseline on defect F1.</w:t>
      </w:r>
    </w:p>
    <w:p>
      <w:pPr>
        <w:pStyle w:val="ListBullet"/>
      </w:pPr>
      <w:r>
        <w:t>Class-balanced BCE + threshold tuning recovers rare-class recall without regressing the frequent classes.</w:t>
      </w:r>
    </w:p>
    <w:p>
      <w:pPr>
        <w:pStyle w:val="ListBullet"/>
      </w:pPr>
      <w:r>
        <w:t>A0: c1 unchanged score_moe under the identical frozen split, seed 7 and evaluator metric code; sole source of delta attribution.</w:t>
      </w:r>
    </w:p>
    <w:p>
      <w:pPr>
        <w:pStyle w:val="ListBullet"/>
      </w:pPr>
      <w:r>
        <w:t>A1: c2 code with augmentation dose 0 -&gt; isolates calibration + hyperparameter effect from any data effect.</w:t>
      </w:r>
    </w:p>
    <w:p>
      <w:pPr>
        <w:pStyle w:val="ListBullet"/>
      </w:pPr>
      <w:r>
        <w:t>A2/A3: c2 code with dose 120 and 240 -&gt; dose-response for the materialised hflip data (requires an 'augmented' tag in the release; otherwise declared unmeasurable).</w:t>
      </w:r>
    </w:p>
    <w:p>
      <w:pPr>
        <w:pStyle w:val="ListBullet"/>
      </w:pPr>
      <w:r>
        <w:t>A4: identity calibration vs isotonic-on-dev-OOF -&gt; isolates the calibration contribution and tests H3.</w:t>
      </w:r>
    </w:p>
    <w:p>
      <w:pPr>
        <w:pStyle w:val="ListBullet"/>
      </w:pPr>
      <w:r>
        <w:t>A5: plugin-default defect thresholds vs dev-OOF tuned thresholds -&gt; isolates threshold tuning from model change; thresholds tuning only reported as dev-tuned.</w:t>
      </w:r>
    </w:p>
    <w:p>
      <w:pPr>
        <w:pStyle w:val="ListBullet"/>
      </w:pPr>
      <w:r>
        <w:t>Shared: frozen eval split and metric implementation for every variant; eval labels never used for fitting or selection; ROM estimate recorded per export; no candidate may alter labels, drop hard samples or lower floors.</w:t>
      </w:r>
    </w:p>
    <w:p>
      <w:pPr>
        <w:pStyle w:val="ListBullet"/>
      </w:pPr>
      <w:r>
        <w:t>Negative control for the data op: re-run A1 and A2 twice with different seeds to check the augmentation delta exceeds seed-to-seed noise before any claim.</w:t>
      </w:r>
    </w:p>
    <w:p>
      <w:pPr>
        <w:pStyle w:val="ListBullet"/>
      </w:pPr>
      <w:r>
        <w:t>Interface control: ast.parse plus a 5-row dry prediction before the full c2 run, because 2/2 fix attempts are already consumed.</w:t>
      </w:r>
    </w:p>
    <w:p>
      <w:pPr>
        <w:pStyle w:val="ListBullet"/>
      </w:pPr>
      <w:r>
        <w:t>identical frozen eval split and metric code for every candidate</w:t>
      </w:r>
    </w:p>
    <w:p>
      <w:pPr>
        <w:pStyle w:val="ListBullet"/>
      </w:pPr>
      <w:r>
        <w:t>ROM hard constraint checked on every exported model</w:t>
      </w:r>
    </w:p>
    <w:p>
      <w:pPr>
        <w:pStyle w:val="ListBullet"/>
      </w:pPr>
      <w:r>
        <w:t>compare against measure_threshold and the prior best</w:t>
      </w:r>
    </w:p>
    <w:p>
      <w:pPr>
        <w:pStyle w:val="Heading1"/>
      </w:pPr>
      <w:r>
        <w:t>Evaluation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protocol_id</w:t>
            </w:r>
          </w:p>
        </w:tc>
        <w:tc>
          <w:tcPr>
            <w:tcW w:type="dxa" w:w="4320"/>
          </w:tcPr>
          <w:p>
            <w:r>
              <w:t>iqa_frozen_v2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slices</w:t>
            </w:r>
          </w:p>
        </w:tc>
        <w:tc>
          <w:tcPr>
            <w:tcW w:type="dxa" w:w="4320"/>
          </w:tcPr>
          <w:p>
            <w:r>
              <w:t>blur, over_exp, under_exp, flare, white_balance, hardcase</w:t>
            </w:r>
          </w:p>
        </w:tc>
      </w:tr>
      <w:tr>
        <w:tc>
          <w:tcPr>
            <w:tcW w:type="dxa" w:w="4320"/>
          </w:tcPr>
          <w:p>
            <w:r>
              <w:t>frozen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p>
      <w:pPr>
        <w:pStyle w:val="Heading1"/>
      </w:pPr>
      <w:r>
        <w:t>Execution DAG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depends_on</w:t>
            </w:r>
          </w:p>
        </w:tc>
      </w:tr>
      <w:tr>
        <w:tc>
          <w:tcPr>
            <w:tcW w:type="dxa" w:w="2880"/>
          </w:tcPr>
          <w:p>
            <w:r>
              <w:t>prepare_assets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prepare_assets</w:t>
            </w:r>
          </w:p>
        </w:tc>
      </w:tr>
      <w:tr>
        <w:tc>
          <w:tcPr>
            <w:tcW w:type="dxa" w:w="2880"/>
          </w:tcPr>
          <w:p>
            <w:r>
              <w:t>run_score_moe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run_score_moe_calibrated_aug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run_score_moe, run_score_moe_calibrated_aug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evaluate</w:t>
            </w:r>
          </w:p>
        </w:tc>
      </w:tr>
    </w:tbl>
    <w:p/>
    <w:p>
      <w:pPr>
        <w:pStyle w:val="Heading1"/>
      </w:pPr>
      <w:r>
        <w:t>Approval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allowed_methods</w:t>
            </w:r>
          </w:p>
        </w:tc>
        <w:tc>
          <w:tcPr>
            <w:tcW w:type="dxa" w:w="4320"/>
          </w:tcPr>
          <w:p>
            <w:r>
              <w:t>['score_moe', 'score_moe_calibrated_aug']</w:t>
            </w:r>
          </w:p>
        </w:tc>
      </w:tr>
      <w:tr>
        <w:tc>
          <w:tcPr>
            <w:tcW w:type="dxa" w:w="4320"/>
          </w:tcPr>
          <w:p>
            <w:r>
              <w:t>allowed_data_sources</w:t>
            </w:r>
          </w:p>
        </w:tc>
        <w:tc>
          <w:tcPr>
            <w:tcW w:type="dxa" w:w="4320"/>
          </w:tcPr>
          <w:p>
            <w:r>
              <w:t>['qaa_iqa_frozen_benchmark', 'iqa_agent_dev_split', 'iqa_agent_measure_registry']</w:t>
            </w:r>
          </w:p>
        </w:tc>
      </w:tr>
      <w:tr>
        <w:tc>
          <w:tcPr>
            <w:tcW w:type="dxa" w:w="4320"/>
          </w:tcPr>
          <w:p>
            <w:r>
              <w:t>allowed_recipe_changes</w:t>
            </w:r>
          </w:p>
        </w:tc>
        <w:tc>
          <w:tcPr>
            <w:tcW w:type="dxa" w:w="4320"/>
          </w:tcPr>
          <w:p>
            <w:r>
              <w:t>['augment', 'resample', 'filter', 'annotate', 'relabel', 'extend']</w:t>
            </w:r>
          </w:p>
        </w:tc>
      </w:tr>
      <w:tr>
        <w:tc>
          <w:tcPr>
            <w:tcW w:type="dxa" w:w="4320"/>
          </w:tcPr>
          <w:p>
            <w:r>
              <w:t>parameter_space</w:t>
            </w:r>
          </w:p>
        </w:tc>
        <w:tc>
          <w:tcPr>
            <w:tcW w:type="dxa" w:w="4320"/>
          </w:tcPr>
          <w:p>
            <w:r>
              <w:t>{'score_moe': {'blend_step': 0.1, 'cv_folds': 4, 'ensemble_seeds': 3, 'epochs': 40, 'eval_labels_used_for_tuning': False, 'export': 'preds_jsonl_plus_config_no_weights', 'feature_workers': 10, 'method': 'score_moe', 'min_family_rows': 15, 'mlp_max_iter': 40, 'n_eval_expected': 85, 'rom_budget_mb': 60.0, 'seed': 7, 'train_release': 'v1', 'train_rows': 445, 'use_metadata': True}, 'score_moe_calibrated_aug': {'aug_dose': [0, 120, 240], 'base_module': 'algorithm_plugins.iqa.methods.score_moe', 'blend_step': 0.05, 'calibration': 'isotonic_on_dev_oof', 'calibration_fallback': '4level_monotone_map_fit_on_train_folds', 'calibration_min_gain_plcc': 0.01, 'cv_folds': 5, 'defect_thresholds': 'plugin_default_plus_dev_oof_control', 'drop_augmented_rows': True, 'ensemble_seeds': 5, 'epochs': 40, 'eval_labels_used_for_tuning': False, 'export': 'preds_jsonl_plus_calibration_json_no_weights', 'feature_workers': 10, 'min_family_rows': 12, 'mlp_max_iter': 40, 'n_eval_expected': 85, 'rom_budget_mb': 60.0, 'seed': 7, 'selection_metric': '0.5*dev_oof_PLCC + 0.5*dev_oof_supported_macroF1', 'use_metadata': True}}</w:t>
            </w:r>
          </w:p>
        </w:tc>
      </w:tr>
      <w:tr>
        <w:tc>
          <w:tcPr>
            <w:tcW w:type="dxa" w:w="4320"/>
          </w:tcPr>
          <w:p>
            <w:r>
              <w:t>write_paths</w:t>
            </w:r>
          </w:p>
        </w:tc>
        <w:tc>
          <w:tcPr>
            <w:tcW w:type="dxa" w:w="4320"/>
          </w:tcPr>
          <w:p>
            <w:r>
              <w:t>['model_pool']</w:t>
            </w:r>
          </w:p>
        </w:tc>
      </w:tr>
      <w:tr>
        <w:tc>
          <w:tcPr>
            <w:tcW w:type="dxa" w:w="4320"/>
          </w:tcPr>
          <w:p>
            <w:r>
              <w:t>evaluation_protocol_id</w:t>
            </w:r>
          </w:p>
        </w:tc>
        <w:tc>
          <w:tcPr>
            <w:tcW w:type="dxa" w:w="4320"/>
          </w:tcPr>
          <w:p>
            <w:r>
              <w:t>iqa_frozen_v2</w:t>
            </w:r>
          </w:p>
        </w:tc>
      </w:tr>
      <w:tr>
        <w:tc>
          <w:tcPr>
            <w:tcW w:type="dxa" w:w="4320"/>
          </w:tcPr>
          <w:p>
            <w:r>
              <w:t>upload_policy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</w:tcPr>
          <w:p>
            <w:r>
              <w:t>resource_budget</w:t>
            </w:r>
          </w:p>
        </w:tc>
        <w:tc>
          <w:tcPr>
            <w:tcW w:type="dxa" w:w="4320"/>
          </w:tcPr>
          <w:p>
            <w:r>
              <w:t>{'schema_version': '1.0', 'max_research_calls': 3, 'max_coding_calls': 8, 'max_fix_attempts': 2, 'max_experiments': 9, 'max_epochs': 40, 'max_wall_clock_s': 2700.0, 'max_cloud_tokens': 400000, 'max_no_improve': 3, 'max_iterations': 3, 'max_research_steps': 12, 'max_candidates': 2, 'max_data_operations': 8, 'max_added_samples': 240, 'max_annotation_samples': 4, 'max_memory_mb': 0, 'max_output_file_mb': 2048}</w:t>
            </w:r>
          </w:p>
        </w:tc>
      </w:tr>
      <w:tr>
        <w:tc>
          <w:tcPr>
            <w:tcW w:type="dxa" w:w="4320"/>
          </w:tcPr>
          <w:p>
            <w:r>
              <w:t>max_iterations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approval_mode</w:t>
            </w:r>
          </w:p>
        </w:tc>
        <w:tc>
          <w:tcPr>
            <w:tcW w:type="dxa" w:w="4320"/>
          </w:tcPr>
          <w:p>
            <w:r>
              <w:t>scoped_auto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