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oo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makes for easy handling.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corrosive products, prepackaging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protects both buyers and sellers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harm,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Disadvantages of Prepackaging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Prepackaging makes the product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expensive and the cost is borne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consumers.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Information on prepackaged goods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deceitful to buyers.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Buyers are compelled to rely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information stated on the package.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Actual inspection of the goods is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 unless the packaging is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destroyed.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End users often litter the environment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wrappers and empty cans.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Advertising: Advertising, also a powerful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promotion, will be discussed extensively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chapter (i.e. Chapter 38).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REVISION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Differentiate between marketing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market.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State the importance of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developing country (SSCE June,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(a)What is branding? (b) State five ways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branding affects the consumer (SSCE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June, 1999).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(a)Why do manufacturers engage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 selling?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(b)What is marketing? (SSCE Nov.,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1990)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(a)What is marketing concept?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(b)Explain the four elements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marketing mix (SSCE Nov., 1990).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(a)What is marketing? (b) Distinguish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marketing and selling.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Explain five functions of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(SSCE Aug., 1991).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(a)Describe five reasons why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manufacturer may brand his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(SSCE June, 1998).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What is personal selling?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Explain five ways in which personal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selling is important to a firm (SSCE June,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(a)Define marketing mix.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Briefly describe each component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marketing mix (NECO/SSCE June,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Explain the following: (i)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concept (ii) Marketing mix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(iii) Market segmentation (iv)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differentiation (SSCE June, 2000).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What is market? (b) Explain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ways by which marketing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important to the economy (c)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functions of marketing (WASSCE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June, 2003).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List and explain five functions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marketing (WASSCE June, 2005).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Define marketing mix. (b) Explain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term marketing concept (c) Listand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describe the four elements of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mix (WASSCE June, 2006).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Scanned with CamScanner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