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D1EE" w14:textId="77777777" w:rsidR="00F04CE1" w:rsidRPr="00F04CE1" w:rsidRDefault="00F04CE1" w:rsidP="00F04CE1">
      <w:pPr>
        <w:rPr>
          <w:rFonts w:ascii="Arial" w:hAnsi="Arial" w:cs="Arial"/>
          <w:b/>
          <w:bCs/>
          <w:sz w:val="24"/>
          <w:szCs w:val="24"/>
        </w:rPr>
      </w:pPr>
      <w:r w:rsidRPr="00F04CE1">
        <w:rPr>
          <w:rFonts w:ascii="Arial" w:hAnsi="Arial" w:cs="Arial"/>
          <w:b/>
          <w:bCs/>
          <w:sz w:val="24"/>
          <w:szCs w:val="24"/>
        </w:rPr>
        <w:t>List of Publications for Module 2: Systems Immunology: Theory, Methodology &amp; Prospects</w:t>
      </w:r>
    </w:p>
    <w:p w14:paraId="68AD8408" w14:textId="77777777" w:rsidR="00F04CE1" w:rsidRPr="00F04CE1" w:rsidRDefault="00F04CE1" w:rsidP="00F04CE1">
      <w:pPr>
        <w:rPr>
          <w:rFonts w:ascii="Arial" w:hAnsi="Arial" w:cs="Arial"/>
          <w:sz w:val="24"/>
          <w:szCs w:val="24"/>
        </w:rPr>
      </w:pPr>
    </w:p>
    <w:p w14:paraId="1E8A5891" w14:textId="77777777" w:rsidR="00F04CE1" w:rsidRDefault="00F04CE1" w:rsidP="00F04CE1">
      <w:pPr>
        <w:pStyle w:val="ListParagraph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F04CE1">
        <w:rPr>
          <w:rFonts w:ascii="Arial" w:hAnsi="Arial" w:cs="Arial"/>
          <w:sz w:val="24"/>
          <w:szCs w:val="24"/>
        </w:rPr>
        <w:t>Querec, T. D., Akondy, R. S., Lee, E. K., Cao, W., Nakaya, H. I., Teuwen, D., Pirani, A., Gernert, K., Deng, J., Marzolf, B., Kennedy, K., Wu, H., Bennouna, S., Oluoch, H., Miller, J., Vencio, R. Z., Mulligan, M., Aderem, A., Ahmed, R., &amp; Pulendran, B. (2009).</w:t>
      </w:r>
      <w:r>
        <w:rPr>
          <w:rFonts w:ascii="Arial" w:hAnsi="Arial" w:cs="Arial"/>
          <w:sz w:val="24"/>
          <w:szCs w:val="24"/>
        </w:rPr>
        <w:t xml:space="preserve"> </w:t>
      </w:r>
      <w:r w:rsidRPr="00F04CE1">
        <w:rPr>
          <w:rFonts w:ascii="Arial" w:hAnsi="Arial" w:cs="Arial"/>
          <w:sz w:val="24"/>
          <w:szCs w:val="24"/>
        </w:rPr>
        <w:t>Systems biology approach predicts immunogenicity of the yellow fever vaccine in humans. Nature Immunology, 10(1), 116-125. doi: 10.1038/ni.1688</w:t>
      </w:r>
    </w:p>
    <w:p w14:paraId="48E04208" w14:textId="77777777" w:rsidR="00F04CE1" w:rsidRDefault="00F04CE1" w:rsidP="00F04CE1">
      <w:pPr>
        <w:pStyle w:val="ListParagraph"/>
        <w:spacing w:after="240"/>
        <w:jc w:val="both"/>
        <w:rPr>
          <w:rFonts w:ascii="Arial" w:hAnsi="Arial" w:cs="Arial"/>
          <w:sz w:val="24"/>
          <w:szCs w:val="24"/>
        </w:rPr>
      </w:pPr>
    </w:p>
    <w:p w14:paraId="6FAF77AE" w14:textId="57580B11" w:rsidR="00F04CE1" w:rsidRPr="00F04CE1" w:rsidRDefault="00F04CE1" w:rsidP="00F04CE1">
      <w:pPr>
        <w:pStyle w:val="ListParagraph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F04CE1">
        <w:rPr>
          <w:rFonts w:ascii="Arial" w:hAnsi="Arial" w:cs="Arial"/>
          <w:sz w:val="24"/>
          <w:szCs w:val="24"/>
        </w:rPr>
        <w:t>Nakaya, H. I., Wrammert, J., Lee, E. K., Racioppi, L., Marie-Kunze, S., Haining, W. N., Means, A. R., Kasturi, S. P., Khan, N., Li, G. M., McCausland, M., Kanchan, V., Kokko, K. E., Li, S., Elbein, R., Mehta, A. K., Aderem, A., Subbarao, K., Ahmed, R., &amp; Pulendran, B. (2011).</w:t>
      </w:r>
      <w:r>
        <w:rPr>
          <w:rFonts w:ascii="Arial" w:hAnsi="Arial" w:cs="Arial"/>
          <w:sz w:val="24"/>
          <w:szCs w:val="24"/>
        </w:rPr>
        <w:t xml:space="preserve"> </w:t>
      </w:r>
      <w:r w:rsidRPr="00F04CE1">
        <w:rPr>
          <w:rFonts w:ascii="Arial" w:hAnsi="Arial" w:cs="Arial"/>
          <w:sz w:val="24"/>
          <w:szCs w:val="24"/>
        </w:rPr>
        <w:t>Systems biology of vaccination for seasonal influenza in humans. Nature Immunology, 12(8), 786-795. doi: 10.1038/ni.208</w:t>
      </w:r>
      <w:r>
        <w:rPr>
          <w:rFonts w:ascii="Arial" w:hAnsi="Arial" w:cs="Arial"/>
          <w:sz w:val="24"/>
          <w:szCs w:val="24"/>
        </w:rPr>
        <w:br/>
      </w:r>
    </w:p>
    <w:p w14:paraId="7CCCFD24" w14:textId="54FD79A1" w:rsidR="00F04CE1" w:rsidRDefault="00F04CE1" w:rsidP="00F04CE1">
      <w:pPr>
        <w:pStyle w:val="ListParagraph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F04CE1">
        <w:rPr>
          <w:rFonts w:ascii="Arial" w:hAnsi="Arial" w:cs="Arial"/>
          <w:sz w:val="24"/>
          <w:szCs w:val="24"/>
        </w:rPr>
        <w:t>Burton, D. R. (2017).</w:t>
      </w:r>
      <w:r>
        <w:rPr>
          <w:rFonts w:ascii="Arial" w:hAnsi="Arial" w:cs="Arial"/>
          <w:sz w:val="24"/>
          <w:szCs w:val="24"/>
        </w:rPr>
        <w:t xml:space="preserve"> </w:t>
      </w:r>
      <w:r w:rsidRPr="00F04CE1">
        <w:rPr>
          <w:rFonts w:ascii="Arial" w:hAnsi="Arial" w:cs="Arial"/>
          <w:sz w:val="24"/>
          <w:szCs w:val="24"/>
        </w:rPr>
        <w:t>What Are the Most Powerful Immunogen Design Vaccine Strategies? Reverse Vaccinology 2.0 Shows Great Promise. Cold Spring Harbor Perspectives in Biology, 9(11), a030262. doi: 10.1101/</w:t>
      </w:r>
      <w:proofErr w:type="gramStart"/>
      <w:r w:rsidRPr="00F04CE1">
        <w:rPr>
          <w:rFonts w:ascii="Arial" w:hAnsi="Arial" w:cs="Arial"/>
          <w:sz w:val="24"/>
          <w:szCs w:val="24"/>
        </w:rPr>
        <w:t>cshperspect.a</w:t>
      </w:r>
      <w:proofErr w:type="gramEnd"/>
      <w:r w:rsidRPr="00F04CE1">
        <w:rPr>
          <w:rFonts w:ascii="Arial" w:hAnsi="Arial" w:cs="Arial"/>
          <w:sz w:val="24"/>
          <w:szCs w:val="24"/>
        </w:rPr>
        <w:t>030262</w:t>
      </w:r>
      <w:r>
        <w:rPr>
          <w:rFonts w:ascii="Arial" w:hAnsi="Arial" w:cs="Arial"/>
          <w:sz w:val="24"/>
          <w:szCs w:val="24"/>
        </w:rPr>
        <w:br/>
      </w:r>
    </w:p>
    <w:p w14:paraId="5C7F13C0" w14:textId="67AD7B7E" w:rsidR="00F04CE1" w:rsidRDefault="00F04CE1" w:rsidP="00F04CE1">
      <w:pPr>
        <w:pStyle w:val="ListParagraph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F04CE1">
        <w:rPr>
          <w:rFonts w:ascii="Arial" w:hAnsi="Arial" w:cs="Arial"/>
          <w:sz w:val="24"/>
          <w:szCs w:val="24"/>
        </w:rPr>
        <w:t>Freund, N. T., Wang, H., Scharf, L., Nogueira, L., Horwitz, J. A., Bar-On, Y., Golijanin, J., Sievers, S. A., Sok, D., Cai, H., Lorenzi, J. C. C., Halper-Stromberg, A., Toth, I., Piechocka-Trocha, A., Gristick, H. B., van Gils, M. J., Sanders, R. W., Wang, L. X., Seaman, M. S., … Nussenzweig, M. C. (2017). Coexistence of potent HIV-1 broadly neutralizing antibodies and antibody-sensitive viruses in a viremic controller. Science Translational Medicine, 9(373), eaal2144. doi: 10.1126/</w:t>
      </w:r>
      <w:proofErr w:type="gramStart"/>
      <w:r w:rsidRPr="00F04CE1">
        <w:rPr>
          <w:rFonts w:ascii="Arial" w:hAnsi="Arial" w:cs="Arial"/>
          <w:sz w:val="24"/>
          <w:szCs w:val="24"/>
        </w:rPr>
        <w:t>scitranslmed.aal</w:t>
      </w:r>
      <w:proofErr w:type="gramEnd"/>
      <w:r w:rsidRPr="00F04CE1">
        <w:rPr>
          <w:rFonts w:ascii="Arial" w:hAnsi="Arial" w:cs="Arial"/>
          <w:sz w:val="24"/>
          <w:szCs w:val="24"/>
        </w:rPr>
        <w:t>2144</w:t>
      </w:r>
      <w:r>
        <w:rPr>
          <w:rFonts w:ascii="Arial" w:hAnsi="Arial" w:cs="Arial"/>
          <w:sz w:val="24"/>
          <w:szCs w:val="24"/>
        </w:rPr>
        <w:br/>
      </w:r>
    </w:p>
    <w:p w14:paraId="6544806B" w14:textId="05677555" w:rsidR="00F04CE1" w:rsidRDefault="00F04CE1" w:rsidP="00F04CE1">
      <w:pPr>
        <w:pStyle w:val="ListParagraph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F04CE1">
        <w:rPr>
          <w:rFonts w:ascii="Arial" w:hAnsi="Arial" w:cs="Arial"/>
          <w:sz w:val="24"/>
          <w:szCs w:val="24"/>
        </w:rPr>
        <w:t>Chowdhury, R. R., Vallania, F., Yang, Q., Lopez Angel, C. J., Darboe, F., Penn-Nicholson, A., Rozot, V., Nemes, E., Malherbe, S. T., Ronacher, K., Walzl, G., Hanekom, W., Davis, M. M., Winter, J., Chen, X., Scriba, T. J., Khatri, P., &amp; Chien, Y. H. (2018). A multi-cohort study of the immune factors associated with M. tuberculosis infection outcomes. Nature, 560(7720), 644-648. doi: 10.1038/s41586-018-0439-x.</w:t>
      </w:r>
      <w:r>
        <w:rPr>
          <w:rFonts w:ascii="Arial" w:hAnsi="Arial" w:cs="Arial"/>
          <w:sz w:val="24"/>
          <w:szCs w:val="24"/>
        </w:rPr>
        <w:br/>
      </w:r>
    </w:p>
    <w:p w14:paraId="21418244" w14:textId="28D3BB69" w:rsidR="000F17CB" w:rsidRDefault="00F04CE1" w:rsidP="00F04CE1">
      <w:pPr>
        <w:pStyle w:val="ListParagraph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F04CE1">
        <w:rPr>
          <w:rFonts w:ascii="Arial" w:hAnsi="Arial" w:cs="Arial"/>
          <w:sz w:val="24"/>
          <w:szCs w:val="24"/>
        </w:rPr>
        <w:t>COvid-19 Multi-omics Blood ATlas (COMBAT) Consortium. (2022). A blood atlas of COVID-19 defines hallmarks of disease severity and specificity. Cell, 185(5), 916-938.e58. doi: 10.1016/j.cell.2022.01.012</w:t>
      </w:r>
    </w:p>
    <w:p w14:paraId="20A3A99C" w14:textId="22FC5CFC" w:rsidR="003B1924" w:rsidRPr="003B1924" w:rsidRDefault="003B1924" w:rsidP="003B1924">
      <w:pPr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3B1924">
        <w:rPr>
          <w:rFonts w:ascii="Arial" w:hAnsi="Arial" w:cs="Arial"/>
          <w:b/>
          <w:bCs/>
          <w:sz w:val="24"/>
          <w:szCs w:val="24"/>
        </w:rPr>
        <w:t>Recommended reading:</w:t>
      </w:r>
    </w:p>
    <w:p w14:paraId="669029AD" w14:textId="66A7831C" w:rsidR="003B1924" w:rsidRPr="003B1924" w:rsidRDefault="003B1924" w:rsidP="003B1924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3B1924">
        <w:rPr>
          <w:rFonts w:ascii="Arial" w:hAnsi="Arial" w:cs="Arial"/>
          <w:sz w:val="24"/>
          <w:szCs w:val="24"/>
          <w:lang w:val="fr-FR"/>
        </w:rPr>
        <w:t>Pulendran, B., &amp; Davis, M. M. (2020).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3B1924">
        <w:rPr>
          <w:rFonts w:ascii="Arial" w:hAnsi="Arial" w:cs="Arial"/>
          <w:sz w:val="24"/>
          <w:szCs w:val="24"/>
        </w:rPr>
        <w:t>The science and medicine of human immunology. Science, 369(6511), eaay4014. doi: 10.1126/</w:t>
      </w:r>
      <w:proofErr w:type="gramStart"/>
      <w:r w:rsidRPr="003B1924">
        <w:rPr>
          <w:rFonts w:ascii="Arial" w:hAnsi="Arial" w:cs="Arial"/>
          <w:sz w:val="24"/>
          <w:szCs w:val="24"/>
        </w:rPr>
        <w:t>science.aay</w:t>
      </w:r>
      <w:proofErr w:type="gramEnd"/>
      <w:r w:rsidRPr="003B1924">
        <w:rPr>
          <w:rFonts w:ascii="Arial" w:hAnsi="Arial" w:cs="Arial"/>
          <w:sz w:val="24"/>
          <w:szCs w:val="24"/>
        </w:rPr>
        <w:t>4014</w:t>
      </w:r>
    </w:p>
    <w:sectPr w:rsidR="003B1924" w:rsidRPr="003B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B3B9F"/>
    <w:multiLevelType w:val="hybridMultilevel"/>
    <w:tmpl w:val="F948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D0D9D"/>
    <w:multiLevelType w:val="hybridMultilevel"/>
    <w:tmpl w:val="D7240AA4"/>
    <w:lvl w:ilvl="0" w:tplc="0409000F">
      <w:start w:val="1"/>
      <w:numFmt w:val="decimal"/>
      <w:lvlText w:val="%1."/>
      <w:lvlJc w:val="left"/>
      <w:pPr>
        <w:ind w:left="984" w:hanging="360"/>
      </w:p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num w:numId="1" w16cid:durableId="516038559">
    <w:abstractNumId w:val="1"/>
  </w:num>
  <w:num w:numId="2" w16cid:durableId="193312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57"/>
    <w:rsid w:val="000F17CB"/>
    <w:rsid w:val="002E5157"/>
    <w:rsid w:val="003B1924"/>
    <w:rsid w:val="007D7367"/>
    <w:rsid w:val="008F3DB9"/>
    <w:rsid w:val="00A67E79"/>
    <w:rsid w:val="00F04CE1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F9F55"/>
  <w15:chartTrackingRefBased/>
  <w15:docId w15:val="{53EF642E-D568-4EA9-B64B-92CF5CEF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2047</Characters>
  <Application>Microsoft Office Word</Application>
  <DocSecurity>0</DocSecurity>
  <Lines>40</Lines>
  <Paragraphs>11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Tomic</dc:creator>
  <cp:keywords/>
  <dc:description/>
  <cp:lastModifiedBy>Adriana Tomic</cp:lastModifiedBy>
  <cp:revision>4</cp:revision>
  <dcterms:created xsi:type="dcterms:W3CDTF">2024-08-19T20:08:00Z</dcterms:created>
  <dcterms:modified xsi:type="dcterms:W3CDTF">2024-08-19T20:13:00Z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3ff6b2601a2e165349b896f10b6cf78b53ef46bcc685145b0f32b8f4dcb5c126</vt:lpwstr>
  </property>
</Properties>
</file>