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Arial" w:cs="Arial" w:eastAsia="Arial" w:hAnsi="Arial"/>
          <w:b/>
          <w:bCs/>
          <w:color w:val="0a1628"/>
          <w:sz w:val="52"/>
          <w:szCs w:val="52"/>
        </w:rPr>
        <w:t xml:space="preserve">BLADESHIP AS</w:t>
      </w:r>
    </w:p>
    <w:p>
      <w:pPr>
        <w:spacing w:after="80" w:before="0"/>
        <w:jc w:val="center"/>
      </w:pPr>
      <w:r>
        <w:rPr>
          <w:rFonts w:ascii="Arial" w:cs="Arial" w:eastAsia="Arial" w:hAnsi="Arial"/>
          <w:b/>
          <w:bCs/>
          <w:color w:val="b8922a"/>
          <w:sz w:val="34"/>
          <w:szCs w:val="34"/>
        </w:rPr>
        <w:t xml:space="preserve">Capital Expenditure &amp; Financing Plan</w:t>
      </w:r>
    </w:p>
    <w:p>
      <w:pPr>
        <w:spacing w:after="40" w:before="0"/>
        <w:jc w:val="center"/>
      </w:pPr>
      <w:r>
        <w:rPr>
          <w:rFonts w:ascii="Arial" w:cs="Arial" w:eastAsia="Arial" w:hAnsi="Arial"/>
          <w:color w:val="555555"/>
          <w:sz w:val="24"/>
          <w:szCs w:val="24"/>
        </w:rPr>
        <w:t xml:space="preserve">Vessel 1 — Newbuild Special Purpose Vessel</w:t>
      </w:r>
    </w:p>
    <w:p>
      <w:pPr>
        <w:spacing w:after="60" w:before="0"/>
        <w:jc w:val="center"/>
      </w:pPr>
      <w:r>
        <w:rPr>
          <w:rFonts w:ascii="Arial" w:cs="Arial" w:eastAsia="Arial" w:hAnsi="Arial"/>
          <w:color w:val="555555"/>
          <w:sz w:val="24"/>
          <w:szCs w:val="24"/>
        </w:rPr>
        <w:t xml:space="preserve">Offshore GRP Blade Recycling System</w:t>
      </w:r>
    </w:p>
    <w:p>
      <w:pPr>
        <w:pBdr>
          <w:bottom w:val="single" w:color="b8922a" w:sz="6" w:space="1"/>
        </w:pBdr>
        <w:spacing w:after="160" w:before="160"/>
      </w:pPr>
    </w:p>
    <w:p>
      <w:pPr>
        <w:spacing w:after="0" w:before="40"/>
      </w:pPr>
    </w:p>
    <w:p>
      <w:pPr>
        <w:spacing w:after="30" w:before="0"/>
        <w:jc w:val="center"/>
      </w:pPr>
      <w:r>
        <w:rPr>
          <w:rFonts w:ascii="Arial" w:cs="Arial" w:eastAsia="Arial" w:hAnsi="Arial"/>
          <w:b/>
          <w:bCs/>
          <w:color w:val="cc0000"/>
          <w:sz w:val="20"/>
          <w:szCs w:val="20"/>
        </w:rPr>
        <w:t xml:space="preserve">CONFIDENTIAL</w:t>
      </w:r>
    </w:p>
    <w:p>
      <w:pPr>
        <w:spacing w:after="30" w:before="0"/>
        <w:jc w:val="center"/>
      </w:pPr>
      <w:r>
        <w:rPr>
          <w:rFonts w:ascii="Arial" w:cs="Arial" w:eastAsia="Arial" w:hAnsi="Arial"/>
          <w:color w:val="777777"/>
          <w:sz w:val="20"/>
          <w:szCs w:val="20"/>
        </w:rPr>
        <w:t xml:space="preserve">Version 1.0  |  June 2026  |  Internal / Investor Use Only</w:t>
      </w:r>
    </w:p>
    <w:p>
      <w:pPr>
        <w:spacing w:after="0" w:before="0"/>
        <w:jc w:val="center"/>
      </w:pPr>
      <w:r>
        <w:rPr>
          <w:rFonts w:ascii="Arial" w:cs="Arial" w:eastAsia="Arial" w:hAnsi="Arial"/>
          <w:color w:val="777777"/>
          <w:sz w:val="20"/>
          <w:szCs w:val="20"/>
        </w:rPr>
        <w:t xml:space="preserve">Leif E. Sunde, Founder &amp; CEO  |  leif@bladeship.no  |  +47 936 14 425</w:t>
      </w:r>
    </w:p>
    <w:p>
      <w:pPr>
        <w:spacing w:after="0" w:before="400"/>
      </w:pPr>
    </w:p>
    <w:p>
      <w:r>
        <w:br w:type="page"/>
      </w:r>
    </w:p>
    <w:p>
      <w:pPr>
        <w:pStyle w:val="Heading1"/>
        <w:spacing w:after="160" w:before="400"/>
      </w:pPr>
      <w:r>
        <w:rPr>
          <w:rFonts w:ascii="Arial" w:cs="Arial" w:eastAsia="Arial" w:hAnsi="Arial"/>
          <w:b/>
          <w:bCs/>
          <w:color w:val="0a1628"/>
          <w:sz w:val="32"/>
          <w:szCs w:val="32"/>
        </w:rPr>
        <w:t xml:space="preserve">1. Executive Summary</w:t>
      </w:r>
    </w:p>
    <w:p>
      <w:pPr>
        <w:pBdr>
          <w:bottom w:val="single" w:color="b8922a" w:sz="6" w:space="1"/>
        </w:pBdr>
        <w:spacing w:after="160" w:before="160"/>
      </w:pPr>
    </w:p>
    <w:p>
      <w:pPr>
        <w:spacing w:after="120" w:before="80"/>
        <w:jc w:val="left"/>
      </w:pPr>
      <w:r>
        <w:rPr>
          <w:rFonts w:ascii="Arial" w:cs="Arial" w:eastAsia="Arial" w:hAnsi="Arial"/>
          <w:b w:val="false"/>
          <w:bCs w:val="false"/>
          <w:i w:val="false"/>
          <w:iCs w:val="false"/>
          <w:color w:val="000000"/>
          <w:sz w:val="22"/>
          <w:szCs w:val="22"/>
        </w:rPr>
        <w:t xml:space="preserve">BladeShip AS is developing the world's first ocean-going special purpose vessel for offshore recycling of decommissioned wind turbine blades. The vessel processes Glass Fibre Reinforced Polymer (GRP) blades directly at offshore wind farm sites, eliminating the logistical and economic barriers of transporting 80-meter blades to land-based facilities.</w:t>
      </w:r>
    </w:p>
    <w:p>
      <w:pPr>
        <w:spacing w:after="0" w:before="80"/>
      </w:pPr>
    </w:p>
    <w:p>
      <w:pPr>
        <w:spacing w:after="120" w:before="80"/>
        <w:jc w:val="left"/>
      </w:pPr>
      <w:r>
        <w:rPr>
          <w:rFonts w:ascii="Arial" w:cs="Arial" w:eastAsia="Arial" w:hAnsi="Arial"/>
          <w:b w:val="false"/>
          <w:bCs w:val="false"/>
          <w:i w:val="false"/>
          <w:iCs w:val="false"/>
          <w:color w:val="000000"/>
          <w:sz w:val="22"/>
          <w:szCs w:val="22"/>
        </w:rPr>
        <w:t xml:space="preserve">This document presents a structured CAPEX estimate for Vessel 1, a financing strategy, and a sensitivity analysis. All figures are based on comparable newbuild market data as of Q2 2026, adjusted for vessel complexity and Norwegian shipyard benchmarks.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Parameter</w:t>
            </w:r>
          </w:p>
        </w:tc>
        <w:tc>
          <w:tcPr>
            <w:tcW w:type="dxa" w:w="38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Value</w:t>
            </w:r>
          </w:p>
        </w:tc>
      </w:tr>
      <w:tr>
        <w:tc>
          <w:tcPr>
            <w:tcW w:type="dxa" w:w="55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Total CAPEX (Vessel 1) — Mid-case</w:t>
            </w:r>
          </w:p>
        </w:tc>
        <w:tc>
          <w:tcPr>
            <w:tcW w:type="dxa" w:w="386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285 million  (~NOK 3.1 billion)</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CAPEX Range (Low–High)</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240M – USD 340M</w:t>
            </w:r>
          </w:p>
        </w:tc>
      </w:tr>
      <w:tr>
        <w:tc>
          <w:tcPr>
            <w:tcW w:type="dxa" w:w="5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EIC Accelerator (applied)</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EUR 17.5M (~USD 19M)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Target Equity Raise (Vessel 1)</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60–80M</w:t>
            </w:r>
          </w:p>
        </w:tc>
      </w:tr>
      <w:tr>
        <w:tc>
          <w:tcPr>
            <w:tcW w:type="dxa" w:w="5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Debt / Export Credit Financing</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150–180M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Break-even Charter Rate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95,000/day</w:t>
            </w:r>
          </w:p>
        </w:tc>
      </w:tr>
      <w:tr>
        <w:tc>
          <w:tcPr>
            <w:tcW w:type="dxa" w:w="5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Estimated Day Rate (market)</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120,000–160,000/day</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Operational Capacity</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5 t/h GRP  |  ~1,500 t GFG storage</w:t>
            </w:r>
          </w:p>
        </w:tc>
      </w:tr>
      <w:tr>
        <w:tc>
          <w:tcPr>
            <w:tcW w:type="dxa" w:w="5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Patent Protection</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 Norwegian patents (PCT filing 2027)</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Classification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DNV DP2 (AiP initiated)</w:t>
            </w:r>
          </w:p>
        </w:tc>
      </w:tr>
      <w:tr>
        <w:tc>
          <w:tcPr>
            <w:tcW w:type="dxa" w:w="5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Target delivery</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Q4 2028 / Q1 2029</w:t>
            </w:r>
          </w:p>
        </w:tc>
      </w:tr>
    </w:tbl>
    <w:p>
      <w:pPr>
        <w:spacing w:after="0" w:before="200"/>
      </w:pPr>
    </w:p>
    <w:p>
      <w:r>
        <w:br w:type="page"/>
      </w:r>
    </w:p>
    <w:p>
      <w:pPr>
        <w:pStyle w:val="Heading1"/>
        <w:spacing w:after="160" w:before="400"/>
      </w:pPr>
      <w:r>
        <w:rPr>
          <w:rFonts w:ascii="Arial" w:cs="Arial" w:eastAsia="Arial" w:hAnsi="Arial"/>
          <w:b/>
          <w:bCs/>
          <w:color w:val="0a1628"/>
          <w:sz w:val="32"/>
          <w:szCs w:val="32"/>
        </w:rPr>
        <w:t xml:space="preserve">2. Market Context &amp; Strategic Position</w:t>
      </w:r>
    </w:p>
    <w:p>
      <w:pPr>
        <w:pBdr>
          <w:bottom w:val="single" w:color="b8922a" w:sz="6" w:space="1"/>
        </w:pBdr>
        <w:spacing w:after="160" w:before="160"/>
      </w:pPr>
    </w:p>
    <w:p>
      <w:pPr>
        <w:pStyle w:val="Heading2"/>
        <w:spacing w:after="160" w:before="280"/>
      </w:pPr>
      <w:r>
        <w:rPr>
          <w:rFonts w:ascii="Arial" w:cs="Arial" w:eastAsia="Arial" w:hAnsi="Arial"/>
          <w:b/>
          <w:bCs/>
          <w:color w:val="0a1628"/>
          <w:sz w:val="26"/>
          <w:szCs w:val="26"/>
        </w:rPr>
        <w:t xml:space="preserve">2.1 Blade Waste Crisis — Scale and Urgency</w:t>
      </w:r>
    </w:p>
    <w:p>
      <w:pPr>
        <w:spacing w:after="120" w:before="80"/>
        <w:jc w:val="left"/>
      </w:pPr>
      <w:r>
        <w:rPr>
          <w:rFonts w:ascii="Arial" w:cs="Arial" w:eastAsia="Arial" w:hAnsi="Arial"/>
          <w:b w:val="false"/>
          <w:bCs w:val="false"/>
          <w:i w:val="false"/>
          <w:iCs w:val="false"/>
          <w:color w:val="000000"/>
          <w:sz w:val="22"/>
          <w:szCs w:val="22"/>
        </w:rPr>
        <w:t xml:space="preserve">The European offshore wind industry faces a structural end-of-life challenge with no viable offshore recycling solution currently available: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2160"/>
      </w:tblGrid>
      <w:tr>
        <w:tc>
          <w:tcPr>
            <w:tcW w:type="dxa" w:w="4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Market Indicator</w:t>
            </w:r>
          </w:p>
        </w:tc>
        <w:tc>
          <w:tcPr>
            <w:tcW w:type="dxa" w:w="32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Data</w:t>
            </w:r>
          </w:p>
        </w:tc>
        <w:tc>
          <w:tcPr>
            <w:tcW w:type="dxa" w:w="21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Source</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Annual blade waste — Europe 2025</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~20,000 tonnes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WindEurope 2025</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Annual blade waste — Europe 2030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~55,000 tonnes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WindEurope 2025</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Blades at risk of landfill/incineration by 2040</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Up to 20,000 units</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NTNU / EurekAlert Apr 2026</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Global blade recycling market — 2024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64.96 billion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BCC Research 2025</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Global blade recycling market — 2030</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158.9 billion</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BCC Research 2025</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Market CAGR 2024–2030</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16.6%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BCC Research 2025</w:t>
            </w:r>
          </w:p>
        </w:tc>
      </w:tr>
      <w:tr>
        <w:tc>
          <w:tcPr>
            <w:tcW w:type="dxa" w:w="4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Industry self-imposed landfill ban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In force January 2026</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WindEurope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GRP to GFG rule (1 GW installed)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~10,000 tonnes of blade material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ScienceDirect 2025</w:t>
            </w:r>
          </w:p>
        </w:tc>
      </w:tr>
    </w:tbl>
    <w:p>
      <w:pPr>
        <w:spacing w:after="0" w:before="120"/>
      </w:pPr>
    </w:p>
    <w:p>
      <w:pPr>
        <w:pStyle w:val="Heading2"/>
        <w:spacing w:after="160" w:before="280"/>
      </w:pPr>
      <w:r>
        <w:rPr>
          <w:rFonts w:ascii="Arial" w:cs="Arial" w:eastAsia="Arial" w:hAnsi="Arial"/>
          <w:b/>
          <w:bCs/>
          <w:color w:val="0a1628"/>
          <w:sz w:val="26"/>
          <w:szCs w:val="26"/>
        </w:rPr>
        <w:t xml:space="preserve">2.2 Competitive Landscape</w:t>
      </w:r>
    </w:p>
    <w:p>
      <w:pPr>
        <w:spacing w:after="120" w:before="80"/>
        <w:jc w:val="left"/>
      </w:pPr>
      <w:r>
        <w:rPr>
          <w:rFonts w:ascii="Arial" w:cs="Arial" w:eastAsia="Arial" w:hAnsi="Arial"/>
          <w:b w:val="false"/>
          <w:bCs w:val="false"/>
          <w:i w:val="false"/>
          <w:iCs w:val="false"/>
          <w:color w:val="000000"/>
          <w:sz w:val="22"/>
          <w:szCs w:val="22"/>
        </w:rPr>
        <w:t xml:space="preserve">All existing recycling solutions are land-based. No competitor offers offshore processing capability: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Solution</w:t>
            </w:r>
          </w:p>
        </w:tc>
        <w:tc>
          <w:tcPr>
            <w:tcW w:type="dxa" w:w="34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Status (June 2026)</w:t>
            </w:r>
          </w:p>
        </w:tc>
        <w:tc>
          <w:tcPr>
            <w:tcW w:type="dxa" w:w="31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BladeShip Advantage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Vestas / Stena CETEC chemical recycling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Testbed phase — not commercial</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BladeShip is offshore &amp; operational-ready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Cement co-processing (thermal)</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Commercial but land-based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No 80m blade transport required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Mechanical shredding (land)</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Commercial but land-based</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Offshore = no logistics cost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Siemens Gamesa RecyclableBlade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New turbines only — not legacy fleet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BladeShip serves 20+ yr legacy fleet</w:t>
            </w:r>
          </w:p>
        </w:tc>
      </w:tr>
      <w:tr>
        <w:tc>
          <w:tcPr>
            <w:tcW w:type="dxa" w:w="28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BladeShip AS</w:t>
            </w:r>
          </w:p>
        </w:tc>
        <w:tc>
          <w:tcPr>
            <w:tcW w:type="dxa" w:w="34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Patents filed, EIC applied, DNV AiP</w:t>
            </w:r>
          </w:p>
        </w:tc>
        <w:tc>
          <w:tcPr>
            <w:tcW w:type="dxa" w:w="316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Only offshore GRP processing system</w:t>
            </w:r>
          </w:p>
        </w:tc>
      </w:tr>
    </w:tbl>
    <w:p>
      <w:pPr>
        <w:spacing w:after="0" w:before="120"/>
      </w:pPr>
    </w:p>
    <w:p>
      <w:pPr>
        <w:pStyle w:val="Heading2"/>
        <w:spacing w:after="160" w:before="280"/>
      </w:pPr>
      <w:r>
        <w:rPr>
          <w:rFonts w:ascii="Arial" w:cs="Arial" w:eastAsia="Arial" w:hAnsi="Arial"/>
          <w:b/>
          <w:bCs/>
          <w:color w:val="0a1628"/>
          <w:sz w:val="26"/>
          <w:szCs w:val="26"/>
        </w:rPr>
        <w:t xml:space="preserve">2.3 The Fabrikktrål Analogy</w:t>
      </w:r>
    </w:p>
    <w:p>
      <w:pPr>
        <w:spacing w:after="120" w:before="80"/>
        <w:jc w:val="left"/>
      </w:pPr>
      <w:r>
        <w:rPr>
          <w:rFonts w:ascii="Arial" w:cs="Arial" w:eastAsia="Arial" w:hAnsi="Arial"/>
          <w:b w:val="false"/>
          <w:bCs w:val="false"/>
          <w:i w:val="false"/>
          <w:iCs w:val="false"/>
          <w:color w:val="000000"/>
          <w:sz w:val="22"/>
          <w:szCs w:val="22"/>
        </w:rPr>
        <w:t xml:space="preserve">BladeShip's concept mirrors one of Norway's most successful industrial innovations: Kjell Inge Røkke's factory-trawler (fabrikktrål) concept, which moved fish processing from land to sea — eliminating cold chain costs, port dependencies, and transport degradation.</w:t>
      </w:r>
    </w:p>
    <w:p>
      <w:pPr>
        <w:spacing w:after="0" w:before="60"/>
      </w:pPr>
    </w:p>
    <w:p>
      <w:pPr>
        <w:spacing w:after="120" w:before="80"/>
        <w:jc w:val="left"/>
      </w:pPr>
      <w:r>
        <w:rPr>
          <w:rFonts w:ascii="Arial" w:cs="Arial" w:eastAsia="Arial" w:hAnsi="Arial"/>
          <w:b w:val="false"/>
          <w:bCs w:val="false"/>
          <w:i w:val="false"/>
          <w:iCs w:val="false"/>
          <w:color w:val="000000"/>
          <w:sz w:val="22"/>
          <w:szCs w:val="22"/>
        </w:rPr>
        <w:t xml:space="preserve">BladeShip applies the identical logic: instead of transporting 80-meter composite blades to land-based recycling plants (at enormous cost and with physical limitations), BladeShip brings the recycling plant to the blade — at the offshore wind farm, during decommissioning.</w:t>
      </w:r>
    </w:p>
    <w:p>
      <w:pPr>
        <w:spacing w:after="0" w:before="60"/>
      </w:pPr>
    </w:p>
    <w:p>
      <w:pPr>
        <w:spacing w:after="120" w:before="80"/>
        <w:jc w:val="left"/>
      </w:pPr>
      <w:r>
        <w:rPr>
          <w:rFonts w:ascii="Arial" w:cs="Arial" w:eastAsia="Arial" w:hAnsi="Arial"/>
          <w:b w:val="false"/>
          <w:bCs w:val="false"/>
          <w:i/>
          <w:iCs/>
          <w:color w:val="000000"/>
          <w:sz w:val="22"/>
          <w:szCs w:val="22"/>
        </w:rPr>
        <w:t xml:space="preserve">This is not an incremental improvement. It is a structural disruption to the offshore decommissioning value chain — and Aker Horizons ASA, which has an active MoU with University of Strathclyde on GRP blade recycling, has already recognised this need.</w:t>
      </w:r>
    </w:p>
    <w:p>
      <w:pPr>
        <w:spacing w:after="0" w:before="200"/>
      </w:pPr>
    </w:p>
    <w:p>
      <w:r>
        <w:br w:type="page"/>
      </w:r>
    </w:p>
    <w:p>
      <w:pPr>
        <w:pStyle w:val="Heading1"/>
        <w:spacing w:after="160" w:before="400"/>
      </w:pPr>
      <w:r>
        <w:rPr>
          <w:rFonts w:ascii="Arial" w:cs="Arial" w:eastAsia="Arial" w:hAnsi="Arial"/>
          <w:b/>
          <w:bCs/>
          <w:color w:val="0a1628"/>
          <w:sz w:val="32"/>
          <w:szCs w:val="32"/>
        </w:rPr>
        <w:t xml:space="preserve">3. Vessel Specification</w:t>
      </w:r>
    </w:p>
    <w:p>
      <w:pPr>
        <w:pBdr>
          <w:bottom w:val="single" w:color="b8922a" w:sz="6" w:space="1"/>
        </w:pBdr>
        <w:spacing w:after="160" w:before="160"/>
      </w:pPr>
    </w:p>
    <w:p>
      <w:pPr>
        <w:pStyle w:val="Heading2"/>
        <w:spacing w:after="160" w:before="280"/>
      </w:pPr>
      <w:r>
        <w:rPr>
          <w:rFonts w:ascii="Arial" w:cs="Arial" w:eastAsia="Arial" w:hAnsi="Arial"/>
          <w:b/>
          <w:bCs/>
          <w:color w:val="0a1628"/>
          <w:sz w:val="26"/>
          <w:szCs w:val="26"/>
        </w:rPr>
        <w:t xml:space="preserve">3.1 Key Technical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c>
          <w:tcPr>
            <w:tcW w:type="dxa" w:w="3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System</w:t>
            </w:r>
          </w:p>
        </w:tc>
        <w:tc>
          <w:tcPr>
            <w:tcW w:type="dxa" w:w="34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Specification</w:t>
            </w:r>
          </w:p>
        </w:tc>
        <w:tc>
          <w:tcPr>
            <w:tcW w:type="dxa" w:w="29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Supplier / Standard</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Vessel type</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Special Purpose Vessel (SPV)</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DNV class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Length overall (LOA)</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~190 m</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Concept design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Beam</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~38 m</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Concept design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Classification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DNV DP2 — AiP initiated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DNV Maritime Stavanger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Flag</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NIS (Norwegian International Ship Register)</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Stavanger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AHC Crane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165t SWL, 40m reach, -50°C, energy recuperation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PALFINGER Marine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DP System</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K-Pos DP2, IMO Class 2</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Kongsberg Maritime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GRP Processing Line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4-stage: saw &gt; shredder &gt; mill &gt; classifier, 5 t/h</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Patent NO20260736</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GFG Storage capacity</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3 x 500t silos (1,500t total)</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Integrated design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Propulsion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Diesel-electric, 4 x gen sets, 18–20 MW installed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Concept design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Energy system</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Hybrid-ready (methanol/ammonia), battery peak-shaving</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Concept design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Patent 1</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Hydraulic dual-claw gripper arm (NO20260735)</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BladeShip AS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Patent 2</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4-stage GRP processing line (NO20260736)</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BladeShip AS</w:t>
            </w:r>
          </w:p>
        </w:tc>
      </w:tr>
    </w:tbl>
    <w:p>
      <w:pPr>
        <w:spacing w:after="0" w:before="200"/>
      </w:pPr>
    </w:p>
    <w:p>
      <w:r>
        <w:br w:type="page"/>
      </w:r>
    </w:p>
    <w:p>
      <w:pPr>
        <w:pStyle w:val="Heading1"/>
        <w:spacing w:after="160" w:before="400"/>
      </w:pPr>
      <w:r>
        <w:rPr>
          <w:rFonts w:ascii="Arial" w:cs="Arial" w:eastAsia="Arial" w:hAnsi="Arial"/>
          <w:b/>
          <w:bCs/>
          <w:color w:val="0a1628"/>
          <w:sz w:val="32"/>
          <w:szCs w:val="32"/>
        </w:rPr>
        <w:t xml:space="preserve">4. CAPEX Estimate — Vessel 1</w:t>
      </w:r>
    </w:p>
    <w:p>
      <w:pPr>
        <w:pBdr>
          <w:bottom w:val="single" w:color="b8922a" w:sz="6" w:space="1"/>
        </w:pBdr>
        <w:spacing w:after="160" w:before="160"/>
      </w:pPr>
    </w:p>
    <w:p>
      <w:pPr>
        <w:spacing w:after="120" w:before="80"/>
        <w:jc w:val="left"/>
      </w:pPr>
      <w:r>
        <w:rPr>
          <w:rFonts w:ascii="Arial" w:cs="Arial" w:eastAsia="Arial" w:hAnsi="Arial"/>
          <w:b w:val="false"/>
          <w:bCs w:val="false"/>
          <w:i w:val="false"/>
          <w:iCs w:val="false"/>
          <w:color w:val="000000"/>
          <w:sz w:val="22"/>
          <w:szCs w:val="22"/>
        </w:rPr>
        <w:t xml:space="preserve">The following estimates are based on publicly available newbuild market data for comparable offshore special purpose vessels as of Q2 2026, adjusted for vessel size, complexity, and Norwegian DNV classification requirements.</w:t>
      </w:r>
    </w:p>
    <w:p>
      <w:pPr>
        <w:spacing w:after="0" w:before="80"/>
      </w:pPr>
    </w:p>
    <w:p>
      <w:pPr>
        <w:pStyle w:val="Heading2"/>
        <w:spacing w:after="160" w:before="280"/>
      </w:pPr>
      <w:r>
        <w:rPr>
          <w:rFonts w:ascii="Arial" w:cs="Arial" w:eastAsia="Arial" w:hAnsi="Arial"/>
          <w:b/>
          <w:bCs/>
          <w:color w:val="0a1628"/>
          <w:sz w:val="26"/>
          <w:szCs w:val="26"/>
        </w:rPr>
        <w:t xml:space="preserve">4.1 Component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200"/>
        <w:gridCol w:w="1200"/>
        <w:gridCol w:w="2360"/>
      </w:tblGrid>
      <w:tr>
        <w:tc>
          <w:tcPr>
            <w:tcW w:type="dxa" w:w="34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CAPEX Component</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Low (USD M)</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Mid (USD M)</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High (USD M)</w:t>
            </w:r>
          </w:p>
        </w:tc>
        <w:tc>
          <w:tcPr>
            <w:tcW w:type="dxa" w:w="23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Hull &amp; Steel Construction (190m)</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120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135</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155</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Korean/Norwegian yard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PALFINGER 165t AHC Crane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25</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Active heave compensated</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Kongsberg K-Pos DP2 + Propulsion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30</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IMO Class 2 DP</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4-Stage GRP Processing Line (custom)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32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40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Patent NO20260736</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GFG Silos (3x500t) + Conveyor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8</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12</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Integrated storage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Hybrid Propulsion + Electrical Systems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30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Battery + gen sets</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Automation, Control &amp; IT Systems</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8</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12</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SCADA + remote ops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Accommodation (80–100 crew)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DNV standard</w:t>
            </w:r>
          </w:p>
        </w:tc>
      </w:tr>
      <w:tr>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Engineering, Class &amp; Verification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13</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16</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DNV + AiP to CG</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Contingency &amp; Margin (10–15%)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Industry standard</w:t>
            </w:r>
          </w:p>
        </w:tc>
      </w:tr>
      <w:tr>
        <w:tc>
          <w:tcPr>
            <w:tcW w:type="dxa" w:w="34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left"/>
            </w:pPr>
            <w:r>
              <w:rPr>
                <w:rFonts w:ascii="Arial" w:cs="Arial" w:eastAsia="Arial" w:hAnsi="Arial"/>
                <w:b/>
                <w:bCs/>
                <w:color w:val="0a1628"/>
                <w:sz w:val="21"/>
                <w:szCs w:val="21"/>
              </w:rPr>
              <w:t xml:space="preserve">TOTAL CAPEX</w:t>
            </w:r>
          </w:p>
        </w:tc>
        <w:tc>
          <w:tcPr>
            <w:tcW w:type="dxa" w:w="12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240</w:t>
            </w:r>
          </w:p>
        </w:tc>
        <w:tc>
          <w:tcPr>
            <w:tcW w:type="dxa" w:w="12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285</w:t>
            </w:r>
          </w:p>
        </w:tc>
        <w:tc>
          <w:tcPr>
            <w:tcW w:type="dxa" w:w="12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340</w:t>
            </w:r>
          </w:p>
        </w:tc>
        <w:tc>
          <w:tcPr>
            <w:tcW w:type="dxa" w:w="236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USD millions</w:t>
            </w:r>
          </w:p>
        </w:tc>
      </w:tr>
      <w:tr>
        <w:tc>
          <w:tcPr>
            <w:tcW w:type="dxa" w:w="34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left"/>
            </w:pPr>
            <w:r>
              <w:rPr>
                <w:rFonts w:ascii="Arial" w:cs="Arial" w:eastAsia="Arial" w:hAnsi="Arial"/>
                <w:b/>
                <w:bCs/>
                <w:color w:val="0a1628"/>
                <w:sz w:val="21"/>
                <w:szCs w:val="21"/>
              </w:rPr>
              <w:t xml:space="preserve">TOTAL CAPEX (NOK approx.)</w:t>
            </w:r>
          </w:p>
        </w:tc>
        <w:tc>
          <w:tcPr>
            <w:tcW w:type="dxa" w:w="12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~2.6B</w:t>
            </w:r>
          </w:p>
        </w:tc>
        <w:tc>
          <w:tcPr>
            <w:tcW w:type="dxa" w:w="12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~3.1B</w:t>
            </w:r>
          </w:p>
        </w:tc>
        <w:tc>
          <w:tcPr>
            <w:tcW w:type="dxa" w:w="12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~3.7B</w:t>
            </w:r>
          </w:p>
        </w:tc>
        <w:tc>
          <w:tcPr>
            <w:tcW w:type="dxa" w:w="236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 NOK 10.9/USD</w:t>
            </w:r>
          </w:p>
        </w:tc>
      </w:tr>
    </w:tbl>
    <w:p>
      <w:pPr>
        <w:spacing w:after="0" w:before="120"/>
      </w:pPr>
    </w:p>
    <w:p>
      <w:pPr>
        <w:pStyle w:val="Heading2"/>
        <w:spacing w:after="160" w:before="280"/>
      </w:pPr>
      <w:r>
        <w:rPr>
          <w:rFonts w:ascii="Arial" w:cs="Arial" w:eastAsia="Arial" w:hAnsi="Arial"/>
          <w:b/>
          <w:bCs/>
          <w:color w:val="0a1628"/>
          <w:sz w:val="26"/>
          <w:szCs w:val="26"/>
        </w:rPr>
        <w:t xml:space="preserve">4.2 Comparable Vessels — Market Benchmarks</w:t>
      </w:r>
    </w:p>
    <w:p>
      <w:pPr>
        <w:spacing w:after="120" w:before="80"/>
        <w:jc w:val="left"/>
      </w:pPr>
      <w:r>
        <w:rPr>
          <w:rFonts w:ascii="Arial" w:cs="Arial" w:eastAsia="Arial" w:hAnsi="Arial"/>
          <w:b w:val="false"/>
          <w:bCs w:val="false"/>
          <w:i w:val="false"/>
          <w:iCs w:val="false"/>
          <w:color w:val="000000"/>
          <w:sz w:val="22"/>
          <w:szCs w:val="22"/>
        </w:rPr>
        <w:t xml:space="preserve">The following comparable newbuilds were used to anchor the CAPEX estimate: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600"/>
        <w:gridCol w:w="1000"/>
        <w:gridCol w:w="2760"/>
      </w:tblGrid>
      <w:tr>
        <w:tc>
          <w:tcPr>
            <w:tcW w:type="dxa" w:w="2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Vessel Type</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LOA</w:t>
            </w:r>
          </w:p>
        </w:tc>
        <w:tc>
          <w:tcPr>
            <w:tcW w:type="dxa" w:w="16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CAPEX</w:t>
            </w:r>
          </w:p>
        </w:tc>
        <w:tc>
          <w:tcPr>
            <w:tcW w:type="dxa" w:w="1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Year</w:t>
            </w:r>
          </w:p>
        </w:tc>
        <w:tc>
          <w:tcPr>
            <w:tcW w:type="dxa" w:w="27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Construction Support Vessel (CSV) — 100m, methanol hybrid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100m</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87.8M</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2026</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Riviera / Seabrokers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Wind Turbine Installation Vessel (WTIV) — heavy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~150m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450–625M</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2024</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MarineLink / Dominion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WTIV Charybdis (US-built)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~170m</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625M</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2025</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Dominion Energy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Heavy offshore construction vessel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~150m</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200–280M</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2025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Industry avg.</w:t>
            </w:r>
          </w:p>
        </w:tc>
      </w:tr>
      <w:tr>
        <w:tc>
          <w:tcPr>
            <w:tcW w:type="dxa" w:w="28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BladeShip Vessel 1 (mid-case)</w:t>
            </w:r>
          </w:p>
        </w:tc>
        <w:tc>
          <w:tcPr>
            <w:tcW w:type="dxa" w:w="12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~190m</w:t>
            </w:r>
          </w:p>
        </w:tc>
        <w:tc>
          <w:tcPr>
            <w:tcW w:type="dxa" w:w="16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285M</w:t>
            </w:r>
          </w:p>
        </w:tc>
        <w:tc>
          <w:tcPr>
            <w:tcW w:type="dxa" w:w="10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2026 est.</w:t>
            </w:r>
          </w:p>
        </w:tc>
        <w:tc>
          <w:tcPr>
            <w:tcW w:type="dxa" w:w="276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BladeShip AS</w:t>
            </w:r>
          </w:p>
        </w:tc>
      </w:tr>
    </w:tbl>
    <w:p>
      <w:pPr>
        <w:spacing w:after="0" w:before="100"/>
      </w:pPr>
    </w:p>
    <w:p>
      <w:pPr>
        <w:spacing w:after="120" w:before="80"/>
        <w:jc w:val="left"/>
      </w:pPr>
      <w:r>
        <w:rPr>
          <w:rFonts w:ascii="Arial" w:cs="Arial" w:eastAsia="Arial" w:hAnsi="Arial"/>
          <w:b w:val="false"/>
          <w:bCs w:val="false"/>
          <w:i/>
          <w:iCs/>
          <w:color w:val="000000"/>
          <w:sz w:val="22"/>
          <w:szCs w:val="22"/>
        </w:rPr>
        <w:t xml:space="preserve">BladeShip at USD 285M mid-case represents a conservative estimate relative to WTIV-class vessels of similar length, reflecting the absence of heavy turbine lifting capacity but inclusion of a fully custom processing plant.</w:t>
      </w:r>
    </w:p>
    <w:p>
      <w:pPr>
        <w:spacing w:after="0" w:before="200"/>
      </w:pPr>
    </w:p>
    <w:p>
      <w:r>
        <w:br w:type="page"/>
      </w:r>
    </w:p>
    <w:p>
      <w:pPr>
        <w:pStyle w:val="Heading1"/>
        <w:spacing w:after="160" w:before="400"/>
      </w:pPr>
      <w:r>
        <w:rPr>
          <w:rFonts w:ascii="Arial" w:cs="Arial" w:eastAsia="Arial" w:hAnsi="Arial"/>
          <w:b/>
          <w:bCs/>
          <w:color w:val="0a1628"/>
          <w:sz w:val="32"/>
          <w:szCs w:val="32"/>
        </w:rPr>
        <w:t xml:space="preserve">5. Financing Strategy</w:t>
      </w:r>
    </w:p>
    <w:p>
      <w:pPr>
        <w:pBdr>
          <w:bottom w:val="single" w:color="b8922a" w:sz="6" w:space="1"/>
        </w:pBdr>
        <w:spacing w:after="160" w:before="160"/>
      </w:pPr>
    </w:p>
    <w:p>
      <w:pPr>
        <w:spacing w:after="120" w:before="80"/>
        <w:jc w:val="left"/>
      </w:pPr>
      <w:r>
        <w:rPr>
          <w:rFonts w:ascii="Arial" w:cs="Arial" w:eastAsia="Arial" w:hAnsi="Arial"/>
          <w:b w:val="false"/>
          <w:bCs w:val="false"/>
          <w:i w:val="false"/>
          <w:iCs w:val="false"/>
          <w:color w:val="000000"/>
          <w:sz w:val="22"/>
          <w:szCs w:val="22"/>
        </w:rPr>
        <w:t xml:space="preserve">BladeShip will pursue a multi-source financing structure combining public grants, export credit financing, and strategic equity. The structure is designed to minimize dilution while maximising non-dilutive capital in the construction phase.</w:t>
      </w:r>
    </w:p>
    <w:p>
      <w:pPr>
        <w:spacing w:after="0" w:before="80"/>
      </w:pPr>
    </w:p>
    <w:p>
      <w:pPr>
        <w:pStyle w:val="Heading2"/>
        <w:spacing w:after="160" w:before="280"/>
      </w:pPr>
      <w:r>
        <w:rPr>
          <w:rFonts w:ascii="Arial" w:cs="Arial" w:eastAsia="Arial" w:hAnsi="Arial"/>
          <w:b/>
          <w:bCs/>
          <w:color w:val="0a1628"/>
          <w:sz w:val="26"/>
          <w:szCs w:val="26"/>
        </w:rPr>
        <w:t xml:space="preserve">5.1 Financing Stack — Mid-Case (USD 285M)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200"/>
        <w:gridCol w:w="1800"/>
        <w:gridCol w:w="1760"/>
      </w:tblGrid>
      <w:tr>
        <w:tc>
          <w:tcPr>
            <w:tcW w:type="dxa" w:w="3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Financing Source</w:t>
            </w:r>
          </w:p>
        </w:tc>
        <w:tc>
          <w:tcPr>
            <w:tcW w:type="dxa" w:w="16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Amount (USD M)</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 of CAPEX</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EIC Accelerator 2026 (EUR 17.5M)</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~19</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7%</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Grant (non-dilutive)</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Applied — ID 101354477</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Innovasjon Norge Miljøteknologi</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Grant (non-dilutive)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Ready — awaiting org.nr.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EU LIFE Climate Action (Sept 2026)</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~5–10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2–4%</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Grant (non-dilutive)</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Planned — Sept 2026</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Grønn Plattform (2027)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~15–30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5–10%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Grant (non-dilutive)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Planned — 2027</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GIEK / Eksfin Export Credit</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~90–100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32–35%</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Debt — secured</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To be initiated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Commercial bank / project finance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~60–80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21–28%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Debt — secured</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To be initiated</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Strategic investor / partner equity</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~40–60</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14–21%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Equity / quasi-equity</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Aker, Equinor, DNV etc.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BladeShip / Aton Group equity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~10–15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Founder equity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Aton Group AS</w:t>
            </w:r>
          </w:p>
        </w:tc>
      </w:tr>
      <w:tr>
        <w:tc>
          <w:tcPr>
            <w:tcW w:type="dxa" w:w="30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left"/>
            </w:pPr>
            <w:r>
              <w:rPr>
                <w:rFonts w:ascii="Arial" w:cs="Arial" w:eastAsia="Arial" w:hAnsi="Arial"/>
                <w:b/>
                <w:bCs/>
                <w:color w:val="0a1628"/>
                <w:sz w:val="21"/>
                <w:szCs w:val="21"/>
              </w:rPr>
              <w:t xml:space="preserve">TOTAL</w:t>
            </w:r>
          </w:p>
        </w:tc>
        <w:tc>
          <w:tcPr>
            <w:tcW w:type="dxa" w:w="16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~285</w:t>
            </w:r>
          </w:p>
        </w:tc>
        <w:tc>
          <w:tcPr>
            <w:tcW w:type="dxa" w:w="12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100%</w:t>
            </w:r>
          </w:p>
        </w:tc>
        <w:tc>
          <w:tcPr>
            <w:tcW w:type="dxa" w:w="18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w:t>
            </w:r>
          </w:p>
        </w:tc>
        <w:tc>
          <w:tcPr>
            <w:tcW w:type="dxa" w:w="176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w:t>
            </w:r>
          </w:p>
        </w:tc>
      </w:tr>
    </w:tbl>
    <w:p>
      <w:pPr>
        <w:spacing w:after="0" w:before="120"/>
      </w:pPr>
    </w:p>
    <w:p>
      <w:pPr>
        <w:pStyle w:val="Heading2"/>
        <w:spacing w:after="160" w:before="280"/>
      </w:pPr>
      <w:r>
        <w:rPr>
          <w:rFonts w:ascii="Arial" w:cs="Arial" w:eastAsia="Arial" w:hAnsi="Arial"/>
          <w:b/>
          <w:bCs/>
          <w:color w:val="0a1628"/>
          <w:sz w:val="26"/>
          <w:szCs w:val="26"/>
        </w:rPr>
        <w:t xml:space="preserve">5.2 Grant Financing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c>
          <w:tcPr>
            <w:tcW w:type="dxa" w:w="3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Programme</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Amount</w:t>
            </w:r>
          </w:p>
        </w:tc>
        <w:tc>
          <w:tcPr>
            <w:tcW w:type="dxa" w:w="1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Frist</w:t>
            </w:r>
          </w:p>
        </w:tc>
        <w:tc>
          <w:tcPr>
            <w:tcW w:type="dxa" w:w="27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Avhengighet</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EIC Accelerator Step 1</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EUR 17.5M (grant + equity)</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Innlevert mai 2026</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Intervju estimert aug 2026</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Innovasjon Norge Miljøteknologi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NOK 2M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Etter org.nr. ~juni 2026</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Org.nr. + bank</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SkatteFUNN FoU-fradrag</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NOK 1–5M / år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Etter org.nr.</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19% av FoU-kostnader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EU LIFE Climate Action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EUR 2–10M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22. september 2026</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EIC-søknad som ref.</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Grønn Plattform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NOK 30–80M</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Mars 2027</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Etablerte partnere</w:t>
            </w:r>
          </w:p>
        </w:tc>
      </w:tr>
      <w:tr>
        <w:tc>
          <w:tcPr>
            <w:tcW w:type="dxa" w:w="30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left"/>
            </w:pPr>
            <w:r>
              <w:rPr>
                <w:rFonts w:ascii="Arial" w:cs="Arial" w:eastAsia="Arial" w:hAnsi="Arial"/>
                <w:b/>
                <w:bCs/>
                <w:color w:val="0a1628"/>
                <w:sz w:val="21"/>
                <w:szCs w:val="21"/>
              </w:rPr>
              <w:t xml:space="preserve">Totalt ikke-utvannende finansiering</w:t>
            </w:r>
          </w:p>
        </w:tc>
        <w:tc>
          <w:tcPr>
            <w:tcW w:type="dxa" w:w="18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~USD 55–75M</w:t>
            </w:r>
          </w:p>
        </w:tc>
        <w:tc>
          <w:tcPr>
            <w:tcW w:type="dxa" w:w="18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2026–2027</w:t>
            </w:r>
          </w:p>
        </w:tc>
        <w:tc>
          <w:tcPr>
            <w:tcW w:type="dxa" w:w="276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bCs/>
                <w:color w:val="0a1628"/>
                <w:sz w:val="21"/>
                <w:szCs w:val="21"/>
              </w:rPr>
              <w:t xml:space="preserve">~20–26% av CAPEX</w:t>
            </w:r>
          </w:p>
        </w:tc>
      </w:tr>
    </w:tbl>
    <w:p>
      <w:pPr>
        <w:spacing w:after="0" w:before="120"/>
      </w:pPr>
    </w:p>
    <w:p>
      <w:pPr>
        <w:pStyle w:val="Heading2"/>
        <w:spacing w:after="160" w:before="280"/>
      </w:pPr>
      <w:r>
        <w:rPr>
          <w:rFonts w:ascii="Arial" w:cs="Arial" w:eastAsia="Arial" w:hAnsi="Arial"/>
          <w:b/>
          <w:bCs/>
          <w:color w:val="0a1628"/>
          <w:sz w:val="26"/>
          <w:szCs w:val="26"/>
        </w:rPr>
        <w:t xml:space="preserve">5.3 Export Credit — GIEK / Eksfin</w:t>
      </w:r>
    </w:p>
    <w:p>
      <w:pPr>
        <w:spacing w:after="120" w:before="80"/>
        <w:jc w:val="left"/>
      </w:pPr>
      <w:r>
        <w:rPr>
          <w:rFonts w:ascii="Arial" w:cs="Arial" w:eastAsia="Arial" w:hAnsi="Arial"/>
          <w:b w:val="false"/>
          <w:bCs w:val="false"/>
          <w:i w:val="false"/>
          <w:iCs w:val="false"/>
          <w:color w:val="000000"/>
          <w:sz w:val="22"/>
          <w:szCs w:val="22"/>
        </w:rPr>
        <w:t xml:space="preserve">Norwegian export credit (Eksfin / GIEK) is a natural fit for BladeShip Vessel 1:</w:t>
      </w:r>
    </w:p>
    <w:p>
      <w:pPr>
        <w:spacing w:after="0" w:before="60"/>
      </w:pPr>
    </w:p>
    <w:p>
      <w:pPr>
        <w:pStyle w:val="ListParagraph"/>
        <w:numPr>
          <w:ilvl w:val="0"/>
          <w:numId w:val="2"/>
        </w:numPr>
        <w:spacing w:after="40" w:before="40"/>
      </w:pPr>
      <w:r>
        <w:rPr>
          <w:rFonts w:ascii="Arial" w:cs="Arial" w:eastAsia="Arial" w:hAnsi="Arial"/>
          <w:b w:val="false"/>
          <w:bCs w:val="false"/>
          <w:color w:val="333333"/>
          <w:sz w:val="22"/>
          <w:szCs w:val="22"/>
        </w:rPr>
        <w:t xml:space="preserve">Norwegian company, Norwegian registry (NIS), Norwegian shipyard preferred</w:t>
      </w:r>
    </w:p>
    <w:p>
      <w:pPr>
        <w:pStyle w:val="ListParagraph"/>
        <w:numPr>
          <w:ilvl w:val="0"/>
          <w:numId w:val="2"/>
        </w:numPr>
        <w:spacing w:after="40" w:before="40"/>
      </w:pPr>
      <w:r>
        <w:rPr>
          <w:rFonts w:ascii="Arial" w:cs="Arial" w:eastAsia="Arial" w:hAnsi="Arial"/>
          <w:b w:val="false"/>
          <w:bCs w:val="false"/>
          <w:color w:val="333333"/>
          <w:sz w:val="22"/>
          <w:szCs w:val="22"/>
        </w:rPr>
        <w:t xml:space="preserve">Green technology with documented climate impact — high priority category for Eksfin 2025–2030</w:t>
      </w:r>
    </w:p>
    <w:p>
      <w:pPr>
        <w:pStyle w:val="ListParagraph"/>
        <w:numPr>
          <w:ilvl w:val="0"/>
          <w:numId w:val="2"/>
        </w:numPr>
        <w:spacing w:after="40" w:before="40"/>
      </w:pPr>
      <w:r>
        <w:rPr>
          <w:rFonts w:ascii="Arial" w:cs="Arial" w:eastAsia="Arial" w:hAnsi="Arial"/>
          <w:b w:val="false"/>
          <w:bCs w:val="false"/>
          <w:color w:val="333333"/>
          <w:sz w:val="22"/>
          <w:szCs w:val="22"/>
        </w:rPr>
        <w:t xml:space="preserve">Typical Eksfin terms: 12–15 year tenor, 2–3% interest, up to 85% of CAPEX</w:t>
      </w:r>
    </w:p>
    <w:p>
      <w:pPr>
        <w:pStyle w:val="ListParagraph"/>
        <w:numPr>
          <w:ilvl w:val="0"/>
          <w:numId w:val="2"/>
        </w:numPr>
        <w:spacing w:after="40" w:before="40"/>
      </w:pPr>
      <w:r>
        <w:rPr>
          <w:rFonts w:ascii="Arial" w:cs="Arial" w:eastAsia="Arial" w:hAnsi="Arial"/>
          <w:b w:val="false"/>
          <w:bCs w:val="false"/>
          <w:color w:val="333333"/>
          <w:sz w:val="22"/>
          <w:szCs w:val="22"/>
        </w:rPr>
        <w:t xml:space="preserve">A Letter of Intent (LOI) from a verft (shipyard) is required to initiate Eksfin dialogue — this is a priority milestone for H2 2026</w:t>
      </w:r>
    </w:p>
    <w:p>
      <w:pPr>
        <w:spacing w:after="0" w:before="120"/>
      </w:pPr>
    </w:p>
    <w:p>
      <w:pPr>
        <w:pStyle w:val="Heading2"/>
        <w:spacing w:after="160" w:before="280"/>
      </w:pPr>
      <w:r>
        <w:rPr>
          <w:rFonts w:ascii="Arial" w:cs="Arial" w:eastAsia="Arial" w:hAnsi="Arial"/>
          <w:b/>
          <w:bCs/>
          <w:color w:val="0a1628"/>
          <w:sz w:val="26"/>
          <w:szCs w:val="26"/>
        </w:rPr>
        <w:t xml:space="preserve">5.4 Strategic Investor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Investor</w:t>
            </w:r>
          </w:p>
        </w:tc>
        <w:tc>
          <w:tcPr>
            <w:tcW w:type="dxa" w:w="45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Rationale</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Aker ASA / Aker Horizons</w:t>
            </w:r>
          </w:p>
        </w:tc>
        <w:tc>
          <w:tcPr>
            <w:tcW w:type="dxa" w:w="456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Active MoU on GRP recycling (Strathclyde). Offshore DNA. Fabrikktrål precedent.</w:t>
            </w:r>
          </w:p>
        </w:tc>
        <w:tc>
          <w:tcPr>
            <w:tcW w:type="dxa" w:w="20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E-post sendt 3. juni 2026</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Equinor Ventures</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North Sea operator. Decommissioning liability. Sustainability mandate.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Søknad innlevert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DNV</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Classification partner. Strategic investment arm. Offshore expertise.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Møte 10. juni 2026</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Statkraft / Nysnø</w:t>
            </w:r>
          </w:p>
        </w:tc>
        <w:tc>
          <w:tcPr>
            <w:tcW w:type="dxa" w:w="45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Norwegian state climate investor. Green maritime mandate.</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Planlagt H2 2026</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Vattenfall / RWE / Ørsted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Major offshore wind operators with decommissioning liability.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Planlagt 2027</w:t>
            </w:r>
          </w:p>
        </w:tc>
      </w:tr>
    </w:tbl>
    <w:p>
      <w:pPr>
        <w:spacing w:after="0" w:before="200"/>
      </w:pPr>
    </w:p>
    <w:p>
      <w:r>
        <w:br w:type="page"/>
      </w:r>
    </w:p>
    <w:p>
      <w:pPr>
        <w:pStyle w:val="Heading1"/>
        <w:spacing w:after="160" w:before="400"/>
      </w:pPr>
      <w:r>
        <w:rPr>
          <w:rFonts w:ascii="Arial" w:cs="Arial" w:eastAsia="Arial" w:hAnsi="Arial"/>
          <w:b/>
          <w:bCs/>
          <w:color w:val="0a1628"/>
          <w:sz w:val="32"/>
          <w:szCs w:val="32"/>
        </w:rPr>
        <w:t xml:space="preserve">6. Revenue Model &amp; Break-Even Analysis</w:t>
      </w:r>
    </w:p>
    <w:p>
      <w:pPr>
        <w:pBdr>
          <w:bottom w:val="single" w:color="b8922a" w:sz="6" w:space="1"/>
        </w:pBdr>
        <w:spacing w:after="160" w:before="160"/>
      </w:pPr>
    </w:p>
    <w:p>
      <w:pPr>
        <w:pStyle w:val="Heading2"/>
        <w:spacing w:after="160" w:before="280"/>
      </w:pPr>
      <w:r>
        <w:rPr>
          <w:rFonts w:ascii="Arial" w:cs="Arial" w:eastAsia="Arial" w:hAnsi="Arial"/>
          <w:b/>
          <w:bCs/>
          <w:color w:val="0a1628"/>
          <w:sz w:val="26"/>
          <w:szCs w:val="26"/>
        </w:rPr>
        <w:t xml:space="preserve">6.1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Revenue Source</w:t>
            </w:r>
          </w:p>
        </w:tc>
        <w:tc>
          <w:tcPr>
            <w:tcW w:type="dxa" w:w="34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Model</w:t>
            </w:r>
          </w:p>
        </w:tc>
        <w:tc>
          <w:tcPr>
            <w:tcW w:type="dxa" w:w="31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Estimated Price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Charter rate (time charter)</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Daily rate to wind operator / decommissioning contractor</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120,000–160,000/day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GFG product sales</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Glassfibre Granulate to concrete industry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EUR 50–150/tonne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Carbon credit / circular compliance premium</w:t>
            </w:r>
          </w:p>
        </w:tc>
        <w:tc>
          <w:tcPr>
            <w:tcW w:type="dxa" w:w="3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EU ETS + Scope 3 avoidance value</w:t>
            </w:r>
          </w:p>
        </w:tc>
        <w:tc>
          <w:tcPr>
            <w:tcW w:type="dxa" w:w="3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EUR 20–40/tonne CO2eq</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Processing fee (blade operator)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Fee per blade processed offshore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EUR 15,000–40,000/blade</w:t>
            </w:r>
          </w:p>
        </w:tc>
      </w:tr>
    </w:tbl>
    <w:p>
      <w:pPr>
        <w:spacing w:after="0" w:before="120"/>
      </w:pPr>
    </w:p>
    <w:p>
      <w:pPr>
        <w:pStyle w:val="Heading2"/>
        <w:spacing w:after="160" w:before="280"/>
      </w:pPr>
      <w:r>
        <w:rPr>
          <w:rFonts w:ascii="Arial" w:cs="Arial" w:eastAsia="Arial" w:hAnsi="Arial"/>
          <w:b/>
          <w:bCs/>
          <w:color w:val="0a1628"/>
          <w:sz w:val="26"/>
          <w:szCs w:val="26"/>
        </w:rPr>
        <w:t xml:space="preserve">6.2 Break-Even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Parameter</w:t>
            </w:r>
          </w:p>
        </w:tc>
        <w:tc>
          <w:tcPr>
            <w:tcW w:type="dxa" w:w="38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Value</w:t>
            </w:r>
          </w:p>
        </w:tc>
      </w:tr>
      <w:tr>
        <w:tc>
          <w:tcPr>
            <w:tcW w:type="dxa" w:w="5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CAPEX (mid-case)</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285M</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Assumed debt/equity structure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65% debt / 35% equity</w:t>
            </w:r>
          </w:p>
        </w:tc>
      </w:tr>
      <w:tr>
        <w:tc>
          <w:tcPr>
            <w:tcW w:type="dxa" w:w="5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Annual debt service (est. 5% on USD 185M, 15yr)</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17.5M/year</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OPEX estimate (crew, fuel, maintenance)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15–20M/year</w:t>
            </w:r>
          </w:p>
        </w:tc>
      </w:tr>
      <w:tr>
        <w:tc>
          <w:tcPr>
            <w:tcW w:type="dxa" w:w="5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Total annual cost to cover</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32–38M/year</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Required operational days/year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~300 days (83% utilization)</w:t>
            </w:r>
          </w:p>
        </w:tc>
      </w:tr>
      <w:tr>
        <w:tc>
          <w:tcPr>
            <w:tcW w:type="dxa" w:w="5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Break-even charter rate</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107,000–127,000/day</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Market charter rate (comparable)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120,000–160,000/day</w:t>
            </w:r>
          </w:p>
        </w:tc>
      </w:tr>
      <w:tr>
        <w:tc>
          <w:tcPr>
            <w:tcW w:type="dxa" w:w="55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GFG revenue (5t/h x 7,200h/yr x EUR 100/t)</w:t>
            </w:r>
          </w:p>
        </w:tc>
        <w:tc>
          <w:tcPr>
            <w:tcW w:type="dxa" w:w="38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4M/year additional</w:t>
            </w:r>
          </w:p>
        </w:tc>
      </w:tr>
      <w:tr>
        <w:tc>
          <w:tcPr>
            <w:tcW w:type="dxa" w:w="5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Net margin at USD 140,000/day</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~USD 6–10M/year (pre-tax)</w:t>
            </w:r>
          </w:p>
        </w:tc>
      </w:tr>
      <w:tr>
        <w:tc>
          <w:tcPr>
            <w:tcW w:type="dxa" w:w="55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Payback period (simple)</w:t>
            </w:r>
          </w:p>
        </w:tc>
        <w:tc>
          <w:tcPr>
            <w:tcW w:type="dxa" w:w="386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~12–15 years</w:t>
            </w:r>
          </w:p>
        </w:tc>
      </w:tr>
    </w:tbl>
    <w:p>
      <w:pPr>
        <w:spacing w:after="0" w:before="100"/>
      </w:pPr>
    </w:p>
    <w:p>
      <w:pPr>
        <w:spacing w:after="120" w:before="80"/>
        <w:jc w:val="left"/>
      </w:pPr>
      <w:r>
        <w:rPr>
          <w:rFonts w:ascii="Arial" w:cs="Arial" w:eastAsia="Arial" w:hAnsi="Arial"/>
          <w:b w:val="false"/>
          <w:bCs w:val="false"/>
          <w:i/>
          <w:iCs/>
          <w:color w:val="000000"/>
          <w:sz w:val="22"/>
          <w:szCs w:val="22"/>
        </w:rPr>
        <w:t xml:space="preserve">Note: Payback improves significantly with 2+ vessel fleet, carbon credit revenue, and EU mandated gate fees for blade disposal. A regulatory EU landfill ban (expected 2027–2028) would materially shift pricing power to BladeShip.</w:t>
      </w:r>
    </w:p>
    <w:p>
      <w:pPr>
        <w:spacing w:after="0" w:before="200"/>
      </w:pPr>
    </w:p>
    <w:p>
      <w:r>
        <w:br w:type="page"/>
      </w:r>
    </w:p>
    <w:p>
      <w:pPr>
        <w:pStyle w:val="Heading1"/>
        <w:spacing w:after="160" w:before="400"/>
      </w:pPr>
      <w:r>
        <w:rPr>
          <w:rFonts w:ascii="Arial" w:cs="Arial" w:eastAsia="Arial" w:hAnsi="Arial"/>
          <w:b/>
          <w:bCs/>
          <w:color w:val="0a1628"/>
          <w:sz w:val="32"/>
          <w:szCs w:val="32"/>
        </w:rPr>
        <w:t xml:space="preserve">7. Key Milestones — Path to Vessel 1</w:t>
      </w:r>
    </w:p>
    <w:p>
      <w:pPr>
        <w:pBdr>
          <w:bottom w:val="single" w:color="b8922a"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360"/>
      </w:tblGrid>
      <w:tr>
        <w:tc>
          <w:tcPr>
            <w:tcW w:type="dxa" w:w="5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Milestone</w:t>
            </w:r>
          </w:p>
        </w:tc>
        <w:tc>
          <w:tcPr>
            <w:tcW w:type="dxa" w:w="20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Target Date</w:t>
            </w:r>
          </w:p>
        </w:tc>
        <w:tc>
          <w:tcPr>
            <w:tcW w:type="dxa" w:w="23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Aton Group AS + BladeShip AS — org.nr.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Juni 2026</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Venter (~19-20. juni)</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DNV AiP (Approval in Principle) møte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 juni 2026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Bekreftet — Stavanger</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EIC Accelerator intervju (Step 2)</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August 2026 (est.)</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Søknad innlevert</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Innovasjon Norge Miljøteknologi søknad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Juni/juli 2026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Klar — venter org.nr.</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Verft LOI (Vard / Ulstein / Green Yard Kleven)</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Q4 2026</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Planlagt</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PCT patent søknad (absolutt frist)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28. mai 2027</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Kritisk — Acapo AS</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Grønn Plattform søknad (NOK 30–80M)</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Mars 2027</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Planlagt</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EU LIFE Climate Action søknad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22. sept 2026</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Planlagt</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Strategic investor / LOI from operator</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H1 2027</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Aker, Equinor, DNV</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Eksfin / GIEK financing term sheet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H2 2027</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Avhenger av verft LOI</w:t>
            </w:r>
          </w:p>
        </w:tc>
      </w:tr>
      <w:tr>
        <w:tc>
          <w:tcPr>
            <w:tcW w:type="dxa" w:w="5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Final Investment Decision (FID)</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Q1 2028</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Avhenger av finansiering</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Newbuild contract — Vessel 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Q1 2028</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Norsk verft foretrukket</w:t>
            </w:r>
          </w:p>
        </w:tc>
      </w:tr>
      <w:tr>
        <w:tc>
          <w:tcPr>
            <w:tcW w:type="dxa" w:w="50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Vessel delivery — Vessel 1</w:t>
            </w:r>
          </w:p>
        </w:tc>
        <w:tc>
          <w:tcPr>
            <w:tcW w:type="dxa" w:w="200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Q4 2028 / Q1 2029</w:t>
            </w:r>
          </w:p>
        </w:tc>
        <w:tc>
          <w:tcPr>
            <w:tcW w:type="dxa" w:w="2360"/>
            <w:tcBorders>
              <w:top w:val="single" w:color="cccccc" w:sz="1"/>
              <w:left w:val="single" w:color="cccccc" w:sz="1"/>
              <w:bottom w:val="single" w:color="cccccc" w:sz="1"/>
              <w:right w:val="single" w:color="cccccc" w:sz="1"/>
            </w:tcBorders>
            <w:shd w:fill="fdf3dc"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Target</w:t>
            </w:r>
          </w:p>
        </w:tc>
      </w:tr>
    </w:tbl>
    <w:p>
      <w:pPr>
        <w:spacing w:after="0" w:before="200"/>
      </w:pPr>
    </w:p>
    <w:p>
      <w:r>
        <w:br w:type="page"/>
      </w:r>
    </w:p>
    <w:p>
      <w:pPr>
        <w:pStyle w:val="Heading1"/>
        <w:spacing w:after="160" w:before="400"/>
      </w:pPr>
      <w:r>
        <w:rPr>
          <w:rFonts w:ascii="Arial" w:cs="Arial" w:eastAsia="Arial" w:hAnsi="Arial"/>
          <w:b/>
          <w:bCs/>
          <w:color w:val="0a1628"/>
          <w:sz w:val="32"/>
          <w:szCs w:val="32"/>
        </w:rPr>
        <w:t xml:space="preserve">8. Risk Register</w:t>
      </w:r>
    </w:p>
    <w:p>
      <w:pPr>
        <w:pBdr>
          <w:bottom w:val="single" w:color="b8922a" w:sz="6"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Probability</w:t>
            </w:r>
          </w:p>
        </w:tc>
        <w:tc>
          <w:tcPr>
            <w:tcW w:type="dxa" w:w="120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EU landfill ban not legally enforced (delay)</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Medium</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Self-imposed ban already in force from Jan 2026. Market pressure independent of regulation.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EIC Accelerator — not awarded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Multi-source financing strategy. EIC loss delays but doesn't prevent. Alternative: Grønn Plattform + Eksfin.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Chemical recycling (Vestas/Stena) scales faster than expected</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Medium</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BladeShip targets mechanical GRP, not epoxy. Technologies are complementary, not competing.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Shipyard cost overrun (CAPEX overshoot)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15% contingency included. Fixed-price contract preferred. Korean/Turkish yard fallback.</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Day rate compression (charter market)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Low</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Medium</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Only offshore GRP processor = pricing power. Long-term charter preferred over spot.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Patent challenge / IP dispute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2 Norwegian patents filed. PCT 2027. Norway first-to-file jurisdiction.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Key person risk (Leif Sunde)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Medium</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High</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Succession planning post-org.nr. Board expansion. Daughter Alexandra Sunde Lindum — board member.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DNV AiP — conditions or delays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Proactive dialogue initiated. Meeting confirmed 10 June 2026.</w:t>
            </w:r>
          </w:p>
        </w:tc>
      </w:tr>
    </w:tbl>
    <w:p>
      <w:pPr>
        <w:spacing w:after="0" w:before="200"/>
      </w:pPr>
    </w:p>
    <w:p>
      <w:r>
        <w:br w:type="page"/>
      </w:r>
    </w:p>
    <w:p>
      <w:pPr>
        <w:pStyle w:val="Heading1"/>
        <w:spacing w:after="160" w:before="400"/>
      </w:pPr>
      <w:r>
        <w:rPr>
          <w:rFonts w:ascii="Arial" w:cs="Arial" w:eastAsia="Arial" w:hAnsi="Arial"/>
          <w:b/>
          <w:bCs/>
          <w:color w:val="0a1628"/>
          <w:sz w:val="32"/>
          <w:szCs w:val="32"/>
        </w:rPr>
        <w:t xml:space="preserve">9. Disclaimer &amp; Confidentiality</w:t>
      </w:r>
    </w:p>
    <w:p>
      <w:pPr>
        <w:pBdr>
          <w:bottom w:val="single" w:color="b8922a" w:sz="6" w:space="1"/>
        </w:pBdr>
        <w:spacing w:after="160" w:before="160"/>
      </w:pPr>
    </w:p>
    <w:p>
      <w:pPr>
        <w:spacing w:after="120" w:before="80"/>
        <w:jc w:val="left"/>
      </w:pPr>
      <w:r>
        <w:rPr>
          <w:rFonts w:ascii="Arial" w:cs="Arial" w:eastAsia="Arial" w:hAnsi="Arial"/>
          <w:b w:val="false"/>
          <w:bCs w:val="false"/>
          <w:i w:val="false"/>
          <w:iCs w:val="false"/>
          <w:color w:val="000000"/>
          <w:sz w:val="22"/>
          <w:szCs w:val="22"/>
        </w:rPr>
        <w:t xml:space="preserve">This document contains forward-looking statements and estimates based on market data available as of June 2026. All CAPEX figures are preliminary estimates and subject to change following concept design, formal yard engagement, and independent engineering review.</w:t>
      </w:r>
    </w:p>
    <w:p>
      <w:pPr>
        <w:spacing w:after="0" w:before="80"/>
      </w:pPr>
    </w:p>
    <w:p>
      <w:pPr>
        <w:spacing w:after="120" w:before="80"/>
        <w:jc w:val="left"/>
      </w:pPr>
      <w:r>
        <w:rPr>
          <w:rFonts w:ascii="Arial" w:cs="Arial" w:eastAsia="Arial" w:hAnsi="Arial"/>
          <w:b w:val="false"/>
          <w:bCs w:val="false"/>
          <w:i w:val="false"/>
          <w:iCs w:val="false"/>
          <w:color w:val="000000"/>
          <w:sz w:val="22"/>
          <w:szCs w:val="22"/>
        </w:rPr>
        <w:t xml:space="preserve">This document is prepared for internal use and potential investor dialogue only. It does not constitute a prospectus, offer to invest, or financial advice. Recipients are required to maintain strict confidentiality and may not reproduce or distribute this document without the prior written consent of BladeShip AS.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Document Details</w:t>
            </w:r>
          </w:p>
        </w:tc>
        <w:tc>
          <w:tcPr>
            <w:tcW w:type="dxa" w:w="4680"/>
            <w:tcBorders>
              <w:top w:val="single" w:color="cccccc" w:sz="1"/>
              <w:left w:val="single" w:color="cccccc" w:sz="1"/>
              <w:bottom w:val="single" w:color="cccccc" w:sz="1"/>
              <w:right w:val="single" w:color="cccccc" w:sz="1"/>
            </w:tcBorders>
            <w:shd w:fill="0a1628" w:val="clear"/>
            <w:tcMar>
              <w:top w:type="dxa" w:w="100"/>
              <w:left w:type="dxa" w:w="150"/>
              <w:bottom w:type="dxa" w:w="100"/>
              <w:right w:type="dxa" w:w="150"/>
            </w:tcMar>
            <w:vAlign w:val="center"/>
          </w:tcPr>
          <w:p>
            <w:pPr>
              <w:jc w:val="right"/>
            </w:pPr>
            <w:r>
              <w:rPr>
                <w:rFonts w:ascii="Arial" w:cs="Arial" w:eastAsia="Arial" w:hAnsi="Arial"/>
                <w:b/>
                <w:bCs/>
                <w:color w:val="ffffff"/>
                <w:sz w:val="20"/>
                <w:szCs w:val="20"/>
              </w:rPr>
              <w:t xml:space="preserve"/>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Document title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BladeShip AS — CAPEX &amp; Financing Plan v1.0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Leif E. Sunde, Founder &amp; CEO — BladeShip AS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Date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June 2026</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Classification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CONFIDENTIAL — Investor / Internal Use Only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Contact</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leif@bladeship.no | +47 936 14 425 | bladeship.no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EIC Accelerator Application ID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101354477</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left"/>
            </w:pPr>
            <w:r>
              <w:rPr>
                <w:rFonts w:ascii="Arial" w:cs="Arial" w:eastAsia="Arial" w:hAnsi="Arial"/>
                <w:b w:val="false"/>
                <w:bCs w:val="false"/>
                <w:color w:val="222222"/>
                <w:sz w:val="21"/>
                <w:szCs w:val="21"/>
              </w:rPr>
              <w:t xml:space="preserve">Patents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vAlign w:val="center"/>
          </w:tcPr>
          <w:p>
            <w:pPr>
              <w:jc w:val="right"/>
            </w:pPr>
            <w:r>
              <w:rPr>
                <w:rFonts w:ascii="Arial" w:cs="Arial" w:eastAsia="Arial" w:hAnsi="Arial"/>
                <w:b w:val="false"/>
                <w:bCs w:val="false"/>
                <w:color w:val="222222"/>
                <w:sz w:val="21"/>
                <w:szCs w:val="21"/>
              </w:rPr>
              <w:t xml:space="preserve">NO20260735 | NO20260736</w:t>
            </w:r>
          </w:p>
        </w:tc>
      </w:tr>
    </w:tbl>
    <w:sectPr>
      <w:pgSz w:w="11906" w:h="16838"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b892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aton_sun.pn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2026-06-03T20:53:24.801Z</dcterms:created>
  <dcterms:modified xsi:type="dcterms:W3CDTF">2026-06-03T20:53:24.801Z</dcterms:modified>
</cp:coreProperties>
</file>

<file path=docProps/custom.xml><?xml version="1.0" encoding="utf-8"?>
<Properties xmlns="http://schemas.openxmlformats.org/officeDocument/2006/custom-properties" xmlns:vt="http://schemas.openxmlformats.org/officeDocument/2006/docPropsVTypes"/>
</file>