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CONCEPT SUMMARY</w:t>
      </w:r>
    </w:p>
    <w:p>
      <w:pPr>
        <w:pBdr>
          <w:bottom w:val="single" w:color="0a1628" w:sz="10" w:space="1"/>
        </w:pBdr>
        <w:spacing w:after="20" w:before="0"/>
      </w:pPr>
      <w:r>
        <w:rPr>
          <w:rFonts w:ascii="Arial" w:cs="Arial" w:eastAsia="Arial" w:hAnsi="Arial"/>
          <w:b/>
          <w:bCs/>
          <w:color w:val="0a1628"/>
          <w:sz w:val="48"/>
          <w:szCs w:val="48"/>
        </w:rPr>
        <w:t xml:space="preserve">BladeShip AS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b8922a"/>
          <w:sz w:val="26"/>
          <w:szCs w:val="26"/>
        </w:rPr>
        <w:t xml:space="preserve">The world first ocean-going wind turbine blade recycling vessel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922a"/>
                <w:sz w:val="22"/>
                <w:szCs w:val="22"/>
              </w:rPr>
              <w:t xml:space="preserve">The Problem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55,000 tonnes of GRP blades reach end-of-life annually in Europe by 2030. No offshore recycling solution exists.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• 80-meter blades cannot be economically transported to shore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• Land-based recyclers are not commercial offshore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• WindEurope self-imposed landfill ban: in force Jan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• NTNU (Apr 2026): 20,000 blades at landfill risk by 2040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The Solution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BladeShip brings the recycling plant to the blade — offshore, at the wind farm. The factory trawler concept, applied to wind.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190m DP2 vessel with patented gripper arm 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4-stage onboard GRP processing line — GFG granulate output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No blade transport to shore. No landfill.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GFG sold to concrete industry as raw material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USD 158.9B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Market 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2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55,000t/yr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Blade waste 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USD 285M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CAPEX Vessel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2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TRL 7-9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Process technology</w:t>
            </w:r>
          </w:p>
        </w:tc>
      </w:tr>
    </w:tbl>
    <w:p>
      <w:pPr>
        <w:spacing w:after="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Status — juni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✅ Patenter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NO20260735 (griperarm) + NO20260736 (prosesslinje) — innlevert mai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✅ EIC Accelerator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17.5M EUR sokt — App ID 101354477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✅ DNV AiP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Foresporsel sendt — mote 10. juni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✅ Verft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Vard, Ulstein, Green Yard Kleven — kontaktet juni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✅ CAPEX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USD 240-340M (mid: USD 285M) — dokumentert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⏳ Org.nr.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BladeShip AS + Aton Group AS — under stiftelse</w:t>
            </w:r>
          </w:p>
        </w:tc>
      </w:tr>
    </w:tbl>
    <w:p>
      <w:pPr>
        <w:spacing w:after="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Teknisk spesifikasjon — nokkeltal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LOA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~190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DP-system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Kongsberg K-Pos DP2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Propulsjon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18-20 MW diesel-elektrisk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AHC-kran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PALFINGER 165t SWL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GRP-kapasitet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 t/h prosessering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GFG-lagring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 x 500t siloer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Klasse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DNV DP2 (AiP pagar)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Flagg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NIS - Stavanger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Finansieringsplan — Vessel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EIC Accelerator (sokt): ~USD 19M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IN Miljoteknologi + SkatteFUNN: ~USD 3M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Eksfin / GIEK eksportkreditt: ~USD 90-100M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Kommersiell bank: ~USD 60-80M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Strategisk investor (Aker/Equinor/DNV): ~USD 40-60M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Founder equity: ~USD 10-15M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Kontakt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Leif E. Sunde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Founder &amp; CEO — BladeShip AS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leif@bladeship.no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+47 936 14 425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bladeship.no | bladeship.eu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Stoperigata 25 L29, 4014 Stavanger</w:t>
            </w:r>
          </w:p>
        </w:tc>
      </w:tr>
    </w:tbl>
    <w:p>
      <w:pPr>
        <w:spacing w:after="0" w:before="60"/>
      </w:pPr>
    </w:p>
    <w:p>
      <w:pPr>
        <w:pBdr>
          <w:top w:val="single" w:color="b8922a" w:sz="4" w:space="1"/>
        </w:pBdr>
        <w:spacing w:after="0" w:before="6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CONFIDENTIAL  |  BladeShip AS  |  Juni 2026  |  EIC App ID: 101354477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162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b892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2026-06-03T21:14:26.461Z</dcterms:created>
  <dcterms:modified xsi:type="dcterms:W3CDTF">2026-06-03T21:14:26.462Z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