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8A4" w:rsidRPr="00683A14" w:rsidRDefault="002528A4" w:rsidP="002528A4">
      <w:pPr>
        <w:pStyle w:val="4"/>
        <w:spacing w:before="50" w:after="50" w:line="60" w:lineRule="auto"/>
        <w:contextualSpacing/>
        <w:rPr>
          <w:rFonts w:ascii="Times New Roman" w:hAnsi="Times New Roman"/>
          <w:sz w:val="24"/>
          <w:szCs w:val="24"/>
        </w:rPr>
      </w:pPr>
      <w:bookmarkStart w:id="0" w:name="_Toc523853988"/>
      <w:bookmarkStart w:id="1" w:name="_Toc523855972"/>
      <w:bookmarkStart w:id="2" w:name="_Toc523912306"/>
      <w:r w:rsidRPr="00683A14">
        <w:rPr>
          <w:rFonts w:ascii="Times New Roman" w:hAnsi="Times New Roman"/>
          <w:sz w:val="24"/>
          <w:szCs w:val="24"/>
        </w:rPr>
        <w:t>Investor Risk Sustainability Assessment Questionnaire (for institutions)</w:t>
      </w:r>
      <w:bookmarkEnd w:id="0"/>
      <w:bookmarkEnd w:id="1"/>
      <w:bookmarkEnd w:id="2"/>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Investor Name: _______________ Asset Account: _______________</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This questionnaire is designed to understand the level of risk Investor institution can withstand, and to assist Investor’s institution in selecting the right ICO project category to meet Investor institution's risk tolerance.</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Risk tolerance assessment is a part of the OneThing Portal’s obligation to perform appropriate obligations to investors. The purpose is to match the products or services provided by the OneThing Portal with the risk tolerance level of Investor’s institution.</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OneThing Portal specifically reminds Investor’s institution that Portal's obligation to assess the risk tolerance of investors to investors does not replace your own investment judgment, nor does it reduce the inherent risks of products or services. </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At the same time, investment risks, performance obligations and fees related to the products or services will be borne by your own organization.</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OneThing Portal prompts Investor’s institution: We </w:t>
      </w:r>
      <w:r w:rsidRPr="00683A14">
        <w:rPr>
          <w:rFonts w:ascii="Times New Roman" w:eastAsia="宋体" w:hAnsi="Times New Roman"/>
          <w:noProof/>
          <w:sz w:val="24"/>
          <w:szCs w:val="24"/>
        </w:rPr>
        <w:t>evaluate</w:t>
      </w:r>
      <w:r w:rsidRPr="00683A14">
        <w:rPr>
          <w:rFonts w:ascii="Times New Roman" w:eastAsia="宋体" w:hAnsi="Times New Roman"/>
          <w:sz w:val="24"/>
          <w:szCs w:val="24"/>
        </w:rPr>
        <w:t xml:space="preserve"> the risk tolerance of your company based on the information provided by your company and fulfills its obligations.</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OneThing Portal's suggestion: When there is a major change in the status of your institution, you need to re-examine the products invested by your company in a timely manner to ensure that your investment decision is consistent with the actual investment risk that you can bear.</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 xml:space="preserve">OneThing Portal hereby promises that we will assume the confidentiality obligations in strict accordance with the laws and regulations posted by the SEC office for all the information provided by Investor’s institution in this questionnaire. Except for the qualified authorities to make inquiries according to law and regulations published by the SEC office, the Portal guarantees that any information concerning Investor’s institution will not be provided to any </w:t>
      </w:r>
      <w:r w:rsidRPr="00683A14">
        <w:rPr>
          <w:rFonts w:ascii="Times New Roman" w:eastAsia="宋体" w:hAnsi="Times New Roman"/>
          <w:noProof/>
          <w:sz w:val="24"/>
          <w:szCs w:val="24"/>
        </w:rPr>
        <w:t>third party</w:t>
      </w:r>
      <w:r w:rsidRPr="00683A14">
        <w:rPr>
          <w:rFonts w:ascii="Times New Roman" w:eastAsia="宋体" w:hAnsi="Times New Roman"/>
          <w:sz w:val="24"/>
          <w:szCs w:val="24"/>
        </w:rPr>
        <w:t>, or the relevant information will be used for illegal or improper use.</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 The nature of your institution:</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State-owned enterprises and institutions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Non-listed private enterprises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Foreign-funded enterprises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Listed companies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2. The net asset size of your institution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Less than 5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lastRenderedPageBreak/>
        <w:t xml:space="preserve">B. 5 million baht - 20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20 million baht -100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More than 100 million </w:t>
      </w:r>
      <w:r w:rsidRPr="00683A14">
        <w:rPr>
          <w:rFonts w:ascii="Times New Roman" w:hAnsi="Times New Roman"/>
          <w:noProof/>
          <w:sz w:val="24"/>
          <w:szCs w:val="24"/>
        </w:rPr>
        <w:t>Baht</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3. The annual operating income of your institution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Less than 5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5 million baht - 20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20 million baht -100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More than 100 million </w:t>
      </w:r>
      <w:r w:rsidRPr="00683A14">
        <w:rPr>
          <w:rFonts w:ascii="Times New Roman" w:hAnsi="Times New Roman"/>
          <w:noProof/>
          <w:sz w:val="24"/>
          <w:szCs w:val="24"/>
        </w:rPr>
        <w:t>Baht</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4. The assets of your institution's securities account are:</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Less than 3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3 million baht - 10 million </w:t>
      </w:r>
      <w:r w:rsidRPr="00683A14">
        <w:rPr>
          <w:rFonts w:ascii="Times New Roman" w:hAnsi="Times New Roman"/>
          <w:noProof/>
          <w:sz w:val="24"/>
          <w:szCs w:val="24"/>
        </w:rPr>
        <w:t>Baht</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10 million baht - 30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more than 30 million Baht</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5. Does your institution have a large amount of debt that has not been settled? If so, the main ones are:</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Bank loans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Corporate bonds or corporate bonds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Borrowings raised by intermediaries such as guarantee companies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Private </w:t>
      </w:r>
      <w:r w:rsidRPr="00683A14">
        <w:rPr>
          <w:rFonts w:ascii="Times New Roman" w:hAnsi="Times New Roman"/>
          <w:noProof/>
          <w:sz w:val="24"/>
          <w:szCs w:val="24"/>
        </w:rPr>
        <w:t>lending</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E. No large debt</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6. For the financial product investment work, what kind of personnel force your company intends to configure:</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A part-time staff member (including the person in charge of decision-making)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A full-time staff member</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Multiple part-time or full-time staff, the division of labor between them is not clear</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Multiple part-time or full-time staff, with a clear division of labor</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7. Whether the personnel responsible for financial product investment work configured by your organization meet the following conditions: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Currently or previously engaged in financial, economic or financial related work related to financial product investment for more than two years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Has obtained a bachelor's degree or above in finance, economics or accounting related to financial product investment.</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Obtain one or more of securities qualification, futures qualification, CPA or CFA</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The personnel configured in this unit do not meet any of the above descriptions.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5. Does your organization have established a management system related to financial product </w:t>
      </w:r>
      <w:r w:rsidR="006431E7" w:rsidRPr="00683A14">
        <w:rPr>
          <w:rFonts w:ascii="Times New Roman" w:hAnsi="Times New Roman"/>
          <w:sz w:val="24"/>
          <w:szCs w:val="24"/>
        </w:rPr>
        <w:t>investment?</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No. Because of the flexibility of operation</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Established. Includes requirements for the </w:t>
      </w:r>
      <w:r w:rsidRPr="00683A14">
        <w:rPr>
          <w:rFonts w:ascii="Times New Roman" w:hAnsi="Times New Roman"/>
          <w:noProof/>
          <w:sz w:val="24"/>
          <w:szCs w:val="24"/>
        </w:rPr>
        <w:t>division</w:t>
      </w:r>
      <w:r w:rsidRPr="00683A14">
        <w:rPr>
          <w:rFonts w:ascii="Times New Roman" w:hAnsi="Times New Roman"/>
          <w:sz w:val="24"/>
          <w:szCs w:val="24"/>
        </w:rPr>
        <w:t xml:space="preserve"> of labor and authorization, but </w:t>
      </w:r>
      <w:r w:rsidRPr="00683A14">
        <w:rPr>
          <w:rFonts w:ascii="Times New Roman" w:hAnsi="Times New Roman"/>
          <w:sz w:val="24"/>
          <w:szCs w:val="24"/>
        </w:rPr>
        <w:lastRenderedPageBreak/>
        <w:t>does not include rules for investment risk control</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Established. It includes a series of rules related to financial product investment, such as division of labor and authorization, risk control, etc.</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9. Your investment experience can be summarized as: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Limited: There is basically no other investment experience other than bank current accounts and time deposits.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General: In addition to bank current accounts and time deposits, I have purchased wealth management products such as funds and insurance, but further guidance is needed.</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Rich: This unit has considerable investment experience, participated in the trading of stocks, funds and other products, and tends to make investment decisions.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Very rich: This unit is very experienced in investing and has participated in the trading of warrants, futures or GEM products.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10. One investor made 15 transactions in one month (one for each sale), and your company believes that the transaction frequency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Too high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High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Normal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Low</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11. The number of different products purchased by your organization or different services (including different products or services of the same type) purchased during the last year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5 or less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6 to 10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11 to 15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16 or more</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12. The following financial products or services, your investment experience in more than two years are:</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Bank deposits, etc.</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Bonds, money market funds, bond funds or other fixed income products, etc.</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Equity investment types such as stocks, hybrid funds, partial stock funds, and stock funds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Futures, options, margin financing, etc.</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E. Complex financial products, other products or services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(Note: This question can be multi-selected, but the score is based on the highest score option)</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13. If your institution has been engaged in financial market investment, the average monthly transaction amount is about the month when the transaction is more active:</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Within 1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lastRenderedPageBreak/>
        <w:t xml:space="preserve">B. 1 million baht - 3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3 million baht - 10 million </w:t>
      </w:r>
      <w:r w:rsidRPr="00683A14">
        <w:rPr>
          <w:rFonts w:ascii="Times New Roman" w:hAnsi="Times New Roman"/>
          <w:noProof/>
          <w:sz w:val="24"/>
          <w:szCs w:val="24"/>
        </w:rPr>
        <w:t>Baht</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More than 10 million </w:t>
      </w:r>
      <w:r w:rsidRPr="00683A14">
        <w:rPr>
          <w:rFonts w:ascii="Times New Roman" w:hAnsi="Times New Roman"/>
          <w:noProof/>
          <w:sz w:val="24"/>
          <w:szCs w:val="24"/>
        </w:rPr>
        <w:t>Baht</w:t>
      </w:r>
      <w:r w:rsidRPr="00683A14">
        <w:rPr>
          <w:rFonts w:ascii="Times New Roman" w:hAnsi="Times New Roman"/>
          <w:sz w:val="24"/>
          <w:szCs w:val="24"/>
        </w:rPr>
        <w:t xml:space="preserve">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E. Never invested in financial products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14. The time period for which most of your funds used for securities investment will not be used for other purposes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0 to 1 year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1 to 5 years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More than 5 years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15. The expected return after your company invests is: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Guarantee the security of the principal as much as possible, regardless of the low rate of return</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Generate certain income and can bear certain investment risks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Generate more income and can bear greater investment risks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Achieve substantial growth in assets and be willing to take on large investment risks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16. What types of investment products does your company intend to invest in?</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A. Fixed income investment products such as bonds, money market funds and bond funds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Equity investment products such as stocks, hybrid funds, partial stock funds, and stock funds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Futures, options, margin financing, etc.</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Complex financial products or services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E. Other products or services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(Note: This question can be multi-selected, but the score is based on the highest score option)</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17. What is the biggest investment loss that your organization thinks you can afford?</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Within 10%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10%-30%</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30%-50%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More than 50%</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18. Suppose there are two different investments: Investment A expects to receive 5% of the proceeds and is likely to bear very small losses; Investment B expects to receive 20% of the gains, but may face losses of 25% or higher. You assign your investment assets as: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All invested in A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B. Most of the investment in A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C. Half of the two investments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D. Most of the investment in B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E. All invested in B</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19. What is the main purpose of your company's participation in financial product </w:t>
      </w:r>
      <w:r w:rsidR="001F34BB" w:rsidRPr="00683A14">
        <w:rPr>
          <w:rFonts w:ascii="Times New Roman" w:hAnsi="Times New Roman"/>
          <w:sz w:val="24"/>
          <w:szCs w:val="24"/>
        </w:rPr>
        <w:t>investment?</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A. Value-added and idle value of idle funds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B. Acquisition of investment income other than the main business</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xml:space="preserve">C. Spot hedging, hedging the risk of the main business </w:t>
      </w: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D. Reduction of the held shares</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Investor signing confirmation</w:t>
      </w:r>
    </w:p>
    <w:p w:rsidR="002528A4" w:rsidRPr="00683A14" w:rsidRDefault="002528A4" w:rsidP="002528A4">
      <w:pPr>
        <w:spacing w:before="100" w:beforeAutospacing="1" w:after="100" w:afterAutospacing="1" w:line="60" w:lineRule="auto"/>
        <w:rPr>
          <w:rFonts w:ascii="Times New Roman" w:eastAsia="宋体" w:hAnsi="Times New Roman"/>
          <w:sz w:val="24"/>
          <w:szCs w:val="24"/>
        </w:rPr>
      </w:pPr>
      <w:r w:rsidRPr="00683A14">
        <w:rPr>
          <w:rFonts w:ascii="Times New Roman" w:eastAsia="宋体" w:hAnsi="Times New Roman"/>
          <w:sz w:val="24"/>
          <w:szCs w:val="24"/>
        </w:rPr>
        <w:t>The organization has been a</w:t>
      </w:r>
      <w:bookmarkStart w:id="3" w:name="_GoBack"/>
      <w:bookmarkEnd w:id="3"/>
      <w:r w:rsidRPr="00683A14">
        <w:rPr>
          <w:rFonts w:ascii="Times New Roman" w:eastAsia="宋体" w:hAnsi="Times New Roman"/>
          <w:sz w:val="24"/>
          <w:szCs w:val="24"/>
        </w:rPr>
        <w:t>ware of and is willing to abide by the Thai laws, regulations, rules and related business rules regarding the management of the securities market. The organization hereby solemnly promises that the above contents are true, accurate, complete and responsible. If there is any material change in the information provided by this institution, the organization will promptly notify your company in writing.</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Agent signature:</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Agency stamp:</w:t>
      </w:r>
    </w:p>
    <w:p w:rsidR="002528A4" w:rsidRPr="00683A14" w:rsidRDefault="002528A4" w:rsidP="002528A4">
      <w:pPr>
        <w:spacing w:before="50" w:after="50" w:line="60" w:lineRule="auto"/>
        <w:contextualSpacing/>
        <w:rPr>
          <w:rFonts w:ascii="Times New Roman" w:hAnsi="Times New Roman"/>
          <w:sz w:val="24"/>
          <w:szCs w:val="24"/>
        </w:rPr>
      </w:pPr>
    </w:p>
    <w:p w:rsidR="002528A4" w:rsidRPr="00683A14" w:rsidRDefault="002528A4" w:rsidP="002528A4">
      <w:pPr>
        <w:spacing w:before="50" w:after="50" w:line="60" w:lineRule="auto"/>
        <w:contextualSpacing/>
        <w:rPr>
          <w:rFonts w:ascii="Times New Roman" w:hAnsi="Times New Roman"/>
          <w:sz w:val="24"/>
          <w:szCs w:val="24"/>
        </w:rPr>
      </w:pPr>
      <w:r w:rsidRPr="00683A14">
        <w:rPr>
          <w:rFonts w:ascii="Times New Roman" w:hAnsi="Times New Roman"/>
          <w:sz w:val="24"/>
          <w:szCs w:val="24"/>
        </w:rPr>
        <w:t>                                                        Date of signing:</w:t>
      </w:r>
    </w:p>
    <w:p w:rsidR="002F545D" w:rsidRPr="002528A4" w:rsidRDefault="002F545D"/>
    <w:sectPr w:rsidR="002F545D" w:rsidRPr="002528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A81" w:rsidRDefault="00E13A81" w:rsidP="006431E7">
      <w:r>
        <w:separator/>
      </w:r>
    </w:p>
  </w:endnote>
  <w:endnote w:type="continuationSeparator" w:id="0">
    <w:p w:rsidR="00E13A81" w:rsidRDefault="00E13A81" w:rsidP="00643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A81" w:rsidRDefault="00E13A81" w:rsidP="006431E7">
      <w:r>
        <w:separator/>
      </w:r>
    </w:p>
  </w:footnote>
  <w:footnote w:type="continuationSeparator" w:id="0">
    <w:p w:rsidR="00E13A81" w:rsidRDefault="00E13A81" w:rsidP="00643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8A4"/>
    <w:rsid w:val="001F34BB"/>
    <w:rsid w:val="002528A4"/>
    <w:rsid w:val="002F545D"/>
    <w:rsid w:val="006431E7"/>
    <w:rsid w:val="009E7870"/>
    <w:rsid w:val="00A812E4"/>
    <w:rsid w:val="00E133BE"/>
    <w:rsid w:val="00E1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DD14624-A278-4454-BDE2-F67ABA3A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8A4"/>
    <w:pPr>
      <w:widowControl w:val="0"/>
      <w:jc w:val="both"/>
    </w:pPr>
    <w:rPr>
      <w:rFonts w:ascii="等线" w:eastAsia="等线" w:hAnsi="等线" w:cs="Times New Roman"/>
    </w:rPr>
  </w:style>
  <w:style w:type="paragraph" w:styleId="4">
    <w:name w:val="heading 4"/>
    <w:basedOn w:val="a"/>
    <w:next w:val="a"/>
    <w:link w:val="4Char"/>
    <w:uiPriority w:val="9"/>
    <w:unhideWhenUsed/>
    <w:qFormat/>
    <w:rsid w:val="002528A4"/>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2528A4"/>
    <w:rPr>
      <w:rFonts w:ascii="等线 Light" w:eastAsia="等线 Light" w:hAnsi="等线 Light" w:cs="Times New Roman"/>
      <w:b/>
      <w:bCs/>
      <w:sz w:val="28"/>
      <w:szCs w:val="28"/>
    </w:rPr>
  </w:style>
  <w:style w:type="paragraph" w:styleId="a3">
    <w:name w:val="header"/>
    <w:basedOn w:val="a"/>
    <w:link w:val="Char"/>
    <w:uiPriority w:val="99"/>
    <w:unhideWhenUsed/>
    <w:rsid w:val="006431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31E7"/>
    <w:rPr>
      <w:rFonts w:ascii="等线" w:eastAsia="等线" w:hAnsi="等线" w:cs="Times New Roman"/>
      <w:sz w:val="18"/>
      <w:szCs w:val="18"/>
    </w:rPr>
  </w:style>
  <w:style w:type="paragraph" w:styleId="a4">
    <w:name w:val="footer"/>
    <w:basedOn w:val="a"/>
    <w:link w:val="Char0"/>
    <w:uiPriority w:val="99"/>
    <w:unhideWhenUsed/>
    <w:rsid w:val="006431E7"/>
    <w:pPr>
      <w:tabs>
        <w:tab w:val="center" w:pos="4153"/>
        <w:tab w:val="right" w:pos="8306"/>
      </w:tabs>
      <w:snapToGrid w:val="0"/>
      <w:jc w:val="left"/>
    </w:pPr>
    <w:rPr>
      <w:sz w:val="18"/>
      <w:szCs w:val="18"/>
    </w:rPr>
  </w:style>
  <w:style w:type="character" w:customStyle="1" w:styleId="Char0">
    <w:name w:val="页脚 Char"/>
    <w:basedOn w:val="a0"/>
    <w:link w:val="a4"/>
    <w:uiPriority w:val="99"/>
    <w:rsid w:val="006431E7"/>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2018-09-19T07:24:00Z</dcterms:created>
  <dcterms:modified xsi:type="dcterms:W3CDTF">2018-09-19T07:35:00Z</dcterms:modified>
</cp:coreProperties>
</file>