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Esempio</w:t>
      </w:r>
      <w:r>
        <w:t xml:space="preserve"> </w:t>
      </w:r>
      <w:r>
        <w:t xml:space="preserve">di</w:t>
      </w:r>
      <w:r>
        <w:t xml:space="preserve"> </w:t>
      </w:r>
      <w:r>
        <w:t xml:space="preserve">conversione</w:t>
      </w:r>
    </w:p>
    <w:p>
      <w:pPr>
        <w:pStyle w:val="Heading1"/>
      </w:pPr>
      <w:bookmarkStart w:id="20" w:name="obiettivo-del-documento"/>
      <w:r>
        <w:t xml:space="preserve">Obiettivo del documento</w:t>
      </w:r>
      <w:bookmarkEnd w:id="20"/>
    </w:p>
    <w:p>
      <w:pPr>
        <w:pStyle w:val="FirstParagraph"/>
      </w:pPr>
      <w:r>
        <w:t xml:space="preserve">Questo documento fornisce degli esempi di formattazione del testo compatibili</w:t>
      </w:r>
      <w:r>
        <w:t xml:space="preserve"> </w:t>
      </w:r>
      <w:r>
        <w:t xml:space="preserve">fra i diversi formati, inclusi RST, DOCX, ODT, MD e HTML.</w:t>
      </w:r>
    </w:p>
    <w:p>
      <w:pPr>
        <w:pStyle w:val="BodyText"/>
      </w:pPr>
      <w:r>
        <w:t xml:space="preserve">Allo stesso tempo, il file RST serve come guida alla sintassi del formato</w:t>
      </w:r>
      <w:r>
        <w:t xml:space="preserve"> </w:t>
      </w:r>
      <w:hyperlink r:id="rId21">
        <w:r>
          <w:rPr>
            <w:rStyle w:val="Hyperlink"/>
          </w:rPr>
          <w:t xml:space="preserve">reStructuredText</w:t>
        </w:r>
      </w:hyperlink>
      <w:r>
        <w:t xml:space="preserve">.</w:t>
      </w:r>
    </w:p>
    <w:p>
      <w:pPr>
        <w:pStyle w:val="BodyText"/>
      </w:pPr>
      <w:r>
        <w:t xml:space="preserve">Questo documento è parzialmente basato su</w:t>
      </w:r>
      <w:r>
        <w:t xml:space="preserve"> </w:t>
      </w:r>
      <w:hyperlink r:id="rId22">
        <w:r>
          <w:rPr>
            <w:rStyle w:val="Hyperlink"/>
          </w:rPr>
          <w:t xml:space="preserve">questo esempio</w:t>
        </w:r>
      </w:hyperlink>
      <w:r>
        <w:t xml:space="preserve">.</w:t>
      </w:r>
    </w:p>
    <w:p>
      <w:pPr>
        <w:pStyle w:val="Heading1"/>
      </w:pPr>
      <w:bookmarkStart w:id="23" w:name="sezioni"/>
      <w:r>
        <w:t xml:space="preserve">Sezioni</w:t>
      </w:r>
      <w:bookmarkEnd w:id="23"/>
    </w:p>
    <w:p>
      <w:pPr>
        <w:pStyle w:val="FirstParagraph"/>
      </w:pPr>
      <w:r>
        <w:t xml:space="preserve">I titoli di sezione come quello qui sopra vanno strutturati in ordine</w:t>
      </w:r>
      <w:r>
        <w:t xml:space="preserve"> </w:t>
      </w:r>
      <w:r>
        <w:t xml:space="preserve">gerarchico. Un titolo di livello 1 dovrebbe essere seguito solo da</w:t>
      </w:r>
      <w:r>
        <w:t xml:space="preserve"> </w:t>
      </w:r>
      <w:r>
        <w:t xml:space="preserve">titoli di livello 2, non 3 o 4 per esempio.</w:t>
      </w:r>
    </w:p>
    <w:p>
      <w:pPr>
        <w:pStyle w:val="BodyText"/>
      </w:pPr>
      <w:r>
        <w:t xml:space="preserve">Abbiamo sviluppato un filtro pandoc per correggere la struttura dei titoli se</w:t>
      </w:r>
      <w:r>
        <w:t xml:space="preserve"> </w:t>
      </w:r>
      <w:r>
        <w:t xml:space="preserve">dovesse servire.</w:t>
      </w:r>
    </w:p>
    <w:p>
      <w:pPr>
        <w:pStyle w:val="Heading2"/>
      </w:pPr>
      <w:bookmarkStart w:id="24" w:name="livello-2"/>
      <w:r>
        <w:t xml:space="preserve">Livello 2</w:t>
      </w:r>
      <w:bookmarkEnd w:id="24"/>
    </w:p>
    <w:p>
      <w:pPr>
        <w:pStyle w:val="Heading3"/>
      </w:pPr>
      <w:bookmarkStart w:id="25" w:name="livello-3"/>
      <w:r>
        <w:t xml:space="preserve">Livello 3</w:t>
      </w:r>
      <w:bookmarkEnd w:id="25"/>
    </w:p>
    <w:p>
      <w:pPr>
        <w:pStyle w:val="Heading4"/>
      </w:pPr>
      <w:bookmarkStart w:id="26" w:name="livello-4"/>
      <w:r>
        <w:t xml:space="preserve">Livello 4</w:t>
      </w:r>
      <w:bookmarkEnd w:id="26"/>
    </w:p>
    <w:p>
      <w:pPr>
        <w:pStyle w:val="FirstParagraph"/>
      </w:pPr>
      <w:r>
        <w:t xml:space="preserve">Sconsigliato per ragioni di leggibilità del testo.</w:t>
      </w:r>
    </w:p>
    <w:p>
      <w:pPr>
        <w:pStyle w:val="Heading1"/>
      </w:pPr>
      <w:bookmarkStart w:id="27" w:name="livello-1"/>
      <w:r>
        <w:t xml:space="preserve">Livello 1</w:t>
      </w:r>
      <w:bookmarkEnd w:id="27"/>
    </w:p>
    <w:p>
      <w:pPr>
        <w:pStyle w:val="FirstParagraph"/>
      </w:pPr>
      <w:r>
        <w:t xml:space="preserve">Questo è un paragrafo.</w:t>
      </w:r>
    </w:p>
    <w:p>
      <w:pPr>
        <w:pStyle w:val="BodyText"/>
      </w:pPr>
      <w:r>
        <w:t xml:space="preserve">Questo è un altro paragrafo, separato dal precedente da una riga vuota.</w:t>
      </w:r>
      <w:r>
        <w:t xml:space="preserve"> </w:t>
      </w:r>
      <w:r>
        <w:t xml:space="preserve">I blocchi di testo non divisi da una riga vuota formano un unico paragrafo.</w:t>
      </w:r>
    </w:p>
    <w:p>
      <w:pPr>
        <w:pStyle w:val="Heading1"/>
      </w:pPr>
      <w:bookmarkStart w:id="28" w:name="formattazione-in-linea"/>
      <w:r>
        <w:t xml:space="preserve">Formattazione in linea</w:t>
      </w:r>
      <w:bookmarkEnd w:id="28"/>
    </w:p>
    <w:p>
      <w:pPr>
        <w:pStyle w:val="FirstParagraph"/>
      </w:pPr>
      <w:r>
        <w:t xml:space="preserve">Si definisce così la formattazione all’interno di un blocco di testo. Ecco</w:t>
      </w:r>
      <w:r>
        <w:t xml:space="preserve"> </w:t>
      </w:r>
      <w:r>
        <w:t xml:space="preserve">alcuni esempi.</w:t>
      </w:r>
    </w:p>
    <w:p>
      <w:pPr>
        <w:pStyle w:val="Heading2"/>
      </w:pPr>
      <w:bookmarkStart w:id="29" w:name="corsivo"/>
      <w:r>
        <w:t xml:space="preserve">Corsivo</w:t>
      </w:r>
      <w:bookmarkEnd w:id="29"/>
    </w:p>
    <w:p>
      <w:pPr>
        <w:pStyle w:val="FirstParagraph"/>
      </w:pPr>
      <w:r>
        <w:t xml:space="preserve">Ecco</w:t>
      </w:r>
      <w:r>
        <w:t xml:space="preserve"> </w:t>
      </w:r>
      <w:r>
        <w:rPr>
          <w:i/>
        </w:rPr>
        <w:t xml:space="preserve">due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corsivo in una frase</w:t>
      </w:r>
      <w:r>
        <w:t xml:space="preserve">.</w:t>
      </w:r>
    </w:p>
    <w:p>
      <w:pPr>
        <w:pStyle w:val="Heading2"/>
      </w:pPr>
      <w:bookmarkStart w:id="30" w:name="grassetto"/>
      <w:r>
        <w:t xml:space="preserve">Grassetto</w:t>
      </w:r>
      <w:bookmarkEnd w:id="30"/>
    </w:p>
    <w:p>
      <w:pPr>
        <w:pStyle w:val="FirstParagraph"/>
      </w:pPr>
      <w:r>
        <w:t xml:space="preserve">Il</w:t>
      </w:r>
      <w:r>
        <w:t xml:space="preserve"> </w:t>
      </w:r>
      <w:r>
        <w:rPr>
          <w:b/>
        </w:rPr>
        <w:t xml:space="preserve">grassetto</w:t>
      </w:r>
      <w:r>
        <w:t xml:space="preserve"> </w:t>
      </w:r>
      <w:r>
        <w:t xml:space="preserve">si formatta</w:t>
      </w:r>
      <w:r>
        <w:t xml:space="preserve"> </w:t>
      </w:r>
      <w:r>
        <w:rPr>
          <w:b/>
        </w:rPr>
        <w:t xml:space="preserve">con due asterischi</w:t>
      </w:r>
      <w:r>
        <w:t xml:space="preserve">.</w:t>
      </w:r>
    </w:p>
    <w:p>
      <w:pPr>
        <w:pStyle w:val="Heading2"/>
      </w:pPr>
      <w:bookmarkStart w:id="31" w:name="codice"/>
      <w:r>
        <w:t xml:space="preserve">Codice</w:t>
      </w:r>
      <w:bookmarkEnd w:id="31"/>
    </w:p>
    <w:p>
      <w:pPr>
        <w:pStyle w:val="FirstParagraph"/>
      </w:pPr>
      <w:r>
        <w:t xml:space="preserve">Piccole porzioni di codice</w:t>
      </w:r>
      <w:r>
        <w:t xml:space="preserve"> </w:t>
      </w:r>
      <w:r>
        <w:rPr>
          <w:rStyle w:val="VerbatimChar"/>
        </w:rPr>
        <w:t xml:space="preserve">&lt;a href="#"&gt;Clicca qui&lt;/a&gt;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ottenute con i doppi apici.</w:t>
      </w:r>
    </w:p>
    <w:p>
      <w:pPr>
        <w:pStyle w:val="Heading2"/>
      </w:pPr>
      <w:bookmarkStart w:id="32" w:name="apici-e-pedici"/>
      <w:r>
        <w:t xml:space="preserve">Apici e pedici</w:t>
      </w:r>
      <w:bookmarkEnd w:id="32"/>
    </w:p>
    <w:p>
      <w:pPr>
        <w:pStyle w:val="FirstParagraph"/>
      </w:pPr>
      <w:r>
        <w:t xml:space="preserve">Testo</w:t>
      </w:r>
      <w:r>
        <w:rPr>
          <w:vertAlign w:val="superscript"/>
        </w:rPr>
        <w:t xml:space="preserve">con apice</w:t>
      </w:r>
      <w:r>
        <w:t xml:space="preserve">.</w:t>
      </w:r>
    </w:p>
    <w:p>
      <w:pPr>
        <w:pStyle w:val="BodyText"/>
      </w:pPr>
      <w:r>
        <w:t xml:space="preserve">Testo</w:t>
      </w:r>
      <w:r>
        <w:rPr>
          <w:vertAlign w:val="subscript"/>
        </w:rPr>
        <w:t xml:space="preserve">con pedice</w:t>
      </w:r>
      <w:r>
        <w:t xml:space="preserve">.</w:t>
      </w:r>
    </w:p>
    <w:p>
      <w:pPr>
        <w:pStyle w:val="Heading2"/>
      </w:pPr>
      <w:bookmarkStart w:id="33" w:name="link"/>
      <w:r>
        <w:t xml:space="preserve">Link</w:t>
      </w:r>
      <w:bookmarkEnd w:id="33"/>
    </w:p>
    <w:p>
      <w:pPr>
        <w:pStyle w:val="FirstParagraph"/>
      </w:pPr>
      <w:r>
        <w:t xml:space="preserve">Questo è</w:t>
      </w:r>
      <w:r>
        <w:t xml:space="preserve"> </w:t>
      </w:r>
      <w:hyperlink r:id="rId34">
        <w:r>
          <w:rPr>
            <w:rStyle w:val="Hyperlink"/>
          </w:rPr>
          <w:t xml:space="preserve">un URL</w:t>
        </w:r>
      </w:hyperlink>
      <w:r>
        <w:t xml:space="preserve">.</w:t>
      </w:r>
    </w:p>
    <w:p>
      <w:pPr>
        <w:pStyle w:val="BodyText"/>
      </w:pPr>
      <w:r>
        <w:t xml:space="preserve">Un indirizzo email:</w:t>
      </w:r>
      <w:r>
        <w:t xml:space="preserve"> </w:t>
      </w:r>
      <w:hyperlink r:id="rId35">
        <w:r>
          <w:rPr>
            <w:rStyle w:val="Hyperlink"/>
          </w:rPr>
          <w:t xml:space="preserve">scrivici</w:t>
        </w:r>
      </w:hyperlink>
      <w:r>
        <w:t xml:space="preserve">.</w:t>
      </w:r>
    </w:p>
    <w:p>
      <w:pPr>
        <w:pStyle w:val="Heading1"/>
      </w:pPr>
      <w:bookmarkStart w:id="36" w:name="elenchi"/>
      <w:r>
        <w:t xml:space="preserve">Elenchi</w:t>
      </w:r>
      <w:bookmarkEnd w:id="36"/>
    </w:p>
    <w:p>
      <w:pPr>
        <w:pStyle w:val="FirstParagraph"/>
      </w:pPr>
      <w:r>
        <w:t xml:space="preserve">Gli elenchi puntati si creano con il trattino.</w:t>
      </w:r>
    </w:p>
    <w:p>
      <w:pPr>
        <w:pStyle w:val="Compact"/>
        <w:numPr>
          <w:numId w:val="1001"/>
          <w:ilvl w:val="0"/>
        </w:numPr>
      </w:pPr>
      <w:r>
        <w:t xml:space="preserve">uno</w:t>
      </w:r>
    </w:p>
    <w:p>
      <w:pPr>
        <w:pStyle w:val="Compact"/>
        <w:numPr>
          <w:numId w:val="1001"/>
          <w:ilvl w:val="0"/>
        </w:numPr>
      </w:pPr>
      <w:r>
        <w:t xml:space="preserve">due</w:t>
      </w:r>
    </w:p>
    <w:p>
      <w:pPr>
        <w:pStyle w:val="Compact"/>
        <w:numPr>
          <w:numId w:val="1001"/>
          <w:ilvl w:val="0"/>
        </w:numPr>
      </w:pPr>
      <w:r>
        <w:t xml:space="preserve">tre</w:t>
      </w:r>
    </w:p>
    <w:p>
      <w:pPr>
        <w:pStyle w:val="FirstParagraph"/>
      </w:pPr>
      <w:r>
        <w:t xml:space="preserve">Gli elenchi numerati si creano con il numero seguito da un punto.</w:t>
      </w:r>
    </w:p>
    <w:p>
      <w:pPr>
        <w:pStyle w:val="Compact"/>
        <w:numPr>
          <w:numId w:val="1002"/>
          <w:ilvl w:val="0"/>
        </w:numPr>
      </w:pPr>
      <w:r>
        <w:t xml:space="preserve">primo</w:t>
      </w:r>
    </w:p>
    <w:p>
      <w:pPr>
        <w:pStyle w:val="Compact"/>
        <w:numPr>
          <w:numId w:val="1002"/>
          <w:ilvl w:val="0"/>
        </w:numPr>
      </w:pPr>
      <w:r>
        <w:t xml:space="preserve">secondo</w:t>
      </w:r>
    </w:p>
    <w:p>
      <w:pPr>
        <w:pStyle w:val="Compact"/>
        <w:numPr>
          <w:numId w:val="1002"/>
          <w:ilvl w:val="0"/>
        </w:numPr>
      </w:pPr>
      <w:r>
        <w:t xml:space="preserve">terzo</w:t>
      </w:r>
    </w:p>
    <w:p>
      <w:pPr>
        <w:pStyle w:val="FirstParagraph"/>
      </w:pPr>
      <w:r>
        <w:t xml:space="preserve">Autonumerazione degli elenchi.</w:t>
      </w:r>
    </w:p>
    <w:p>
      <w:pPr>
        <w:pStyle w:val="Compact"/>
        <w:numPr>
          <w:numId w:val="1003"/>
          <w:ilvl w:val="0"/>
        </w:numPr>
      </w:pPr>
      <w:r>
        <w:t xml:space="preserve">Qui</w:t>
      </w:r>
    </w:p>
    <w:p>
      <w:pPr>
        <w:pStyle w:val="Compact"/>
        <w:numPr>
          <w:numId w:val="1003"/>
          <w:ilvl w:val="0"/>
        </w:numPr>
      </w:pPr>
      <w:r>
        <w:t xml:space="preserve">Quo</w:t>
      </w:r>
    </w:p>
    <w:p>
      <w:pPr>
        <w:pStyle w:val="Compact"/>
        <w:numPr>
          <w:numId w:val="1003"/>
          <w:ilvl w:val="0"/>
        </w:numPr>
      </w:pPr>
      <w:r>
        <w:t xml:space="preserve">Qua</w:t>
      </w:r>
    </w:p>
    <w:p>
      <w:pPr>
        <w:pStyle w:val="Compact"/>
        <w:numPr>
          <w:numId w:val="1004"/>
          <w:ilvl w:val="1"/>
        </w:numPr>
      </w:pPr>
      <w:r>
        <w:t xml:space="preserve">Paperino</w:t>
      </w:r>
    </w:p>
    <w:p>
      <w:pPr>
        <w:pStyle w:val="Heading2"/>
      </w:pPr>
      <w:bookmarkStart w:id="37" w:name="elenchi-annidati"/>
      <w:r>
        <w:t xml:space="preserve">Elenchi annidati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tab</w:t>
      </w:r>
    </w:p>
    <w:p>
      <w:pPr>
        <w:pStyle w:val="Compact"/>
        <w:numPr>
          <w:numId w:val="1006"/>
          <w:ilvl w:val="1"/>
        </w:numPr>
      </w:pPr>
      <w:r>
        <w:t xml:space="preserve">tab</w:t>
      </w:r>
    </w:p>
    <w:p>
      <w:pPr>
        <w:pStyle w:val="Compact"/>
        <w:numPr>
          <w:numId w:val="1007"/>
          <w:ilvl w:val="2"/>
        </w:numPr>
      </w:pPr>
      <w:r>
        <w:t xml:space="preserve">tab</w:t>
      </w:r>
    </w:p>
    <w:p>
      <w:pPr>
        <w:pStyle w:val="FirstParagraph"/>
      </w:pPr>
      <w:r>
        <w:t xml:space="preserve">Oppure:</w:t>
      </w:r>
    </w:p>
    <w:p>
      <w:pPr>
        <w:pStyle w:val="Compact"/>
        <w:numPr>
          <w:numId w:val="1008"/>
          <w:ilvl w:val="0"/>
        </w:numPr>
      </w:pPr>
      <w:r>
        <w:t xml:space="preserve">primo</w:t>
      </w:r>
    </w:p>
    <w:p>
      <w:pPr>
        <w:pStyle w:val="Compact"/>
        <w:numPr>
          <w:numId w:val="1009"/>
          <w:ilvl w:val="1"/>
        </w:numPr>
      </w:pPr>
      <w:r>
        <w:t xml:space="preserve">alfa</w:t>
      </w:r>
    </w:p>
    <w:p>
      <w:pPr>
        <w:pStyle w:val="Compact"/>
        <w:numPr>
          <w:numId w:val="1009"/>
          <w:ilvl w:val="1"/>
        </w:numPr>
      </w:pPr>
      <w:r>
        <w:t xml:space="preserve">beta</w:t>
      </w:r>
    </w:p>
    <w:p>
      <w:pPr>
        <w:pStyle w:val="Compact"/>
        <w:numPr>
          <w:numId w:val="1009"/>
          <w:ilvl w:val="1"/>
        </w:numPr>
      </w:pPr>
      <w:r>
        <w:t xml:space="preserve">gamma</w:t>
      </w:r>
    </w:p>
    <w:p>
      <w:pPr>
        <w:pStyle w:val="Compact"/>
        <w:numPr>
          <w:numId w:val="1008"/>
          <w:ilvl w:val="0"/>
        </w:numPr>
      </w:pPr>
      <w:r>
        <w:t xml:space="preserve">secondo</w:t>
      </w:r>
    </w:p>
    <w:p>
      <w:pPr>
        <w:pStyle w:val="Compact"/>
        <w:numPr>
          <w:numId w:val="1010"/>
          <w:ilvl w:val="1"/>
        </w:numPr>
      </w:pPr>
      <w:r>
        <w:t xml:space="preserve">alef</w:t>
      </w:r>
    </w:p>
    <w:p>
      <w:pPr>
        <w:pStyle w:val="Compact"/>
        <w:numPr>
          <w:numId w:val="1010"/>
          <w:ilvl w:val="1"/>
        </w:numPr>
      </w:pPr>
      <w:r>
        <w:t xml:space="preserve">bet</w:t>
      </w:r>
    </w:p>
    <w:p>
      <w:pPr>
        <w:pStyle w:val="Compact"/>
        <w:numPr>
          <w:numId w:val="1010"/>
          <w:ilvl w:val="1"/>
        </w:numPr>
      </w:pPr>
      <w:r>
        <w:t xml:space="preserve">ghimel</w:t>
      </w:r>
    </w:p>
    <w:p>
      <w:pPr>
        <w:pStyle w:val="Heading1"/>
      </w:pPr>
      <w:bookmarkStart w:id="38" w:name="formattare-blocchi-di-testo"/>
      <w:r>
        <w:t xml:space="preserve">Formattare blocchi di testo</w:t>
      </w:r>
      <w:bookmarkEnd w:id="38"/>
    </w:p>
    <w:p>
      <w:pPr>
        <w:pStyle w:val="FirstParagraph"/>
      </w:pPr>
      <w:r>
        <w:t xml:space="preserve">I blocchi di testo si possono formattare usando il menu a tendina</w:t>
      </w:r>
      <w:r>
        <w:t xml:space="preserve"> </w:t>
      </w:r>
      <w:r>
        <w:t xml:space="preserve">relativo allo stile negli editor WYSIWYG.</w:t>
      </w:r>
    </w:p>
    <w:p>
      <w:pPr>
        <w:pStyle w:val="Heading2"/>
      </w:pPr>
      <w:bookmarkStart w:id="39" w:name="formattare-il-codice"/>
      <w:r>
        <w:t xml:space="preserve">Formattare il codice</w:t>
      </w:r>
      <w:bookmarkEnd w:id="39"/>
    </w:p>
    <w:p>
      <w:pPr>
        <w:pStyle w:val="SourceCode"/>
      </w:pPr>
      <w:r>
        <w:rPr>
          <w:rStyle w:val="VerbatimChar"/>
        </w:rPr>
        <w:t xml:space="preserve">Questo testo ha lo stile “Source Code”, da usare per gli esempi di codice sorgente</w:t>
      </w:r>
    </w:p>
    <w:p>
      <w:pPr>
        <w:pStyle w:val="FirstParagraph"/>
      </w:pPr>
      <w:r>
        <w:t xml:space="preserve">In alternativa, è possibile specificare il linguaggio del codice.</w:t>
      </w:r>
    </w:p>
    <w:p>
      <w:p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clicca qui</w:t>
      </w:r>
      <w:r>
        <w:rPr>
          <w:rStyle w:val="KeywordTok"/>
        </w:rPr>
        <w:t xml:space="preserve">&lt;/a&gt;</w:t>
      </w:r>
    </w:p>
    <w:p>
      <w:pPr>
        <w:pStyle w:val="Heading2"/>
      </w:pPr>
      <w:bookmarkStart w:id="40" w:name="citazioni"/>
      <w:r>
        <w:t xml:space="preserve">Citazioni</w:t>
      </w:r>
      <w:bookmarkEnd w:id="40"/>
    </w:p>
    <w:p>
      <w:pPr>
        <w:pStyle w:val="FirstParagraph"/>
      </w:pPr>
      <w:r>
        <w:t xml:space="preserve">Questo è un blocco formattato come citazione.</w:t>
      </w:r>
    </w:p>
    <w:p>
      <w:pPr>
        <w:pStyle w:val="BlockText"/>
      </w:pPr>
      <w:r>
        <w:t xml:space="preserve">Frase molto importante di una persona molto famosa.</w:t>
      </w:r>
    </w:p>
    <w:p>
      <w:pPr>
        <w:pStyle w:val="FirstParagraph"/>
      </w:pPr>
      <w:r>
        <w:t xml:space="preserve">Paragrafo successivo.</w:t>
      </w:r>
    </w:p>
    <w:p>
      <w:pPr>
        <w:pStyle w:val="Heading1"/>
      </w:pPr>
      <w:bookmarkStart w:id="41" w:name="immagini-e-tabelle"/>
      <w:r>
        <w:t xml:space="preserve">Immagini e tabelle</w:t>
      </w:r>
      <w:bookmarkEnd w:id="41"/>
    </w:p>
    <w:p>
      <w:pPr>
        <w:pStyle w:val="Heading2"/>
      </w:pPr>
      <w:bookmarkStart w:id="42" w:name="immagine-senza-didascalia"/>
      <w:r>
        <w:t xml:space="preserve">Immagine (senza didascalia)</w:t>
      </w:r>
      <w:bookmarkEnd w:id="42"/>
    </w:p>
    <w:p>
      <w:pPr>
        <w:pStyle w:val="FirstParagraph"/>
      </w:pPr>
      <w:r>
        <w:drawing>
          <wp:inline>
            <wp:extent cx="1905637" cy="2083432"/>
            <wp:effectExtent b="0" l="0" r="0" t="0"/>
            <wp:docPr descr="Testo alternativo. Luna" title="" id="1" name="Picture"/>
            <a:graphic>
              <a:graphicData uri="http://schemas.openxmlformats.org/drawingml/2006/picture">
                <pic:pic>
                  <pic:nvPicPr>
                    <pic:cNvPr descr="media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7" cy="20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figura-con-didascalia"/>
      <w:r>
        <w:t xml:space="preserve">Figura (con didascalia)</w:t>
      </w:r>
      <w:bookmarkEnd w:id="44"/>
    </w:p>
    <w:p>
      <w:pPr>
        <w:pStyle w:val="FirstParagraph"/>
      </w:pPr>
      <w:r>
        <w:t xml:space="preserve">La formattazione centrata non viene resa correttamente in DOCX e ODT.</w:t>
      </w:r>
    </w:p>
    <w:p>
      <w:pPr>
        <w:pStyle w:val="CaptionedFigure"/>
      </w:pPr>
      <w:r>
        <w:drawing>
          <wp:inline>
            <wp:extent cx="1905637" cy="2083432"/>
            <wp:effectExtent b="0" l="0" r="0" t="0"/>
            <wp:docPr descr="Didascalia della figura, separata dalle opzioni precedenti da una riga vuota." title="" id="1" name="Picture"/>
            <a:graphic>
              <a:graphicData uri="http://schemas.openxmlformats.org/drawingml/2006/picture">
                <pic:pic>
                  <pic:nvPicPr>
                    <pic:cNvPr descr="media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7" cy="20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Didascalia della figura, separata dalle opzioni precedenti da una riga vuota.</w:t>
      </w:r>
    </w:p>
    <w:p>
      <w:pPr>
        <w:pStyle w:val="Heading2"/>
      </w:pPr>
      <w:bookmarkStart w:id="45" w:name="tabella-senza-didascalia"/>
      <w:r>
        <w:t xml:space="preserve">Tabella (senza didascalia)</w:t>
      </w:r>
      <w:bookmarkEnd w:id="45"/>
    </w:p>
    <w:tbl>
      <w:tblPr>
        <w:tblStyle w:val="Table"/>
        <w:tblW w:type="pct" w:w="1041.6666666666667"/>
        <w:tblLook w:firstRow="0"/>
      </w:tblPr>
      <w:tblGrid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p>
            <w:pPr>
              <w:pStyle w:val="Compact"/>
              <w:jc w:val="left"/>
            </w:pPr>
            <w:r>
              <w:t xml:space="preserve">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</w:tr>
    </w:tbl>
    <w:p>
      <w:pPr>
        <w:pStyle w:val="Heading2"/>
      </w:pPr>
      <w:bookmarkStart w:id="46" w:name="tabella-con-didascalia"/>
      <w:r>
        <w:t xml:space="preserve">Tabella (con didascalia)</w:t>
      </w:r>
      <w:bookmarkEnd w:id="46"/>
    </w:p>
    <w:p>
      <w:pPr>
        <w:pStyle w:val="TableCaption"/>
      </w:pPr>
      <w:r>
        <w:t xml:space="preserve">Didascalia della tabella</w:t>
      </w:r>
    </w:p>
    <w:tbl>
      <w:tblPr>
        <w:tblStyle w:val="Table"/>
        <w:tblW w:type="pct" w:w="1041.6666666666667"/>
        <w:tblLook w:firstRow="0"/>
        <w:tblCaption w:val="Didascalia della tabella"/>
      </w:tblPr>
      <w:tblGrid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p>
            <w:pPr>
              <w:pStyle w:val="Compact"/>
              <w:jc w:val="left"/>
            </w:pPr>
            <w:r>
              <w:t xml:space="preserve">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</w:tr>
    </w:tbl>
    <w:p>
      <w:pPr>
        <w:pStyle w:val="Heading1"/>
      </w:pPr>
      <w:bookmarkStart w:id="47" w:name="note-a-piè-di-pagina"/>
      <w:r>
        <w:t xml:space="preserve">Note a piè di pagina</w:t>
      </w:r>
      <w:bookmarkEnd w:id="47"/>
    </w:p>
    <w:p>
      <w:pPr>
        <w:pStyle w:val="FirstParagraph"/>
      </w:pPr>
      <w:r>
        <w:t xml:space="preserve">Una nota alla fine di una riga</w:t>
      </w:r>
      <w:r>
        <w:rPr>
          <w:rStyle w:val="FootnoteReference"/>
        </w:rPr>
        <w:footnoteReference w:id="48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La nota si può mettere anche all'interno di un elenco</w:t>
      </w:r>
      <w:r>
        <w:rPr>
          <w:rStyle w:val="FootnoteReference"/>
        </w:rPr>
        <w:footnoteReference w:id="49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Nota importante.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Altra nota importante.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jpg" /><Relationship Type="http://schemas.openxmlformats.org/officeDocument/2006/relationships/hyperlink" Id="rId34" Target="http://docs.italia.it/" TargetMode="External" /><Relationship Type="http://schemas.openxmlformats.org/officeDocument/2006/relationships/hyperlink" Id="rId21" Target="http://docutils.sourceforge.net/rst.html" TargetMode="External" /><Relationship Type="http://schemas.openxmlformats.org/officeDocument/2006/relationships/hyperlink" Id="rId22" Target="https://raw.githubusercontent.com/jgm/pandoc/master/test/writer.rst" TargetMode="External" /><Relationship Type="http://schemas.openxmlformats.org/officeDocument/2006/relationships/hyperlink" Id="rId35" Target="mailto:a@b.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ocs.italia.it/" TargetMode="External" /><Relationship Type="http://schemas.openxmlformats.org/officeDocument/2006/relationships/hyperlink" Id="rId21" Target="http://docutils.sourceforge.net/rst.html" TargetMode="External" /><Relationship Type="http://schemas.openxmlformats.org/officeDocument/2006/relationships/hyperlink" Id="rId22" Target="https://raw.githubusercontent.com/jgm/pandoc/master/test/writer.rst" TargetMode="External" /><Relationship Type="http://schemas.openxmlformats.org/officeDocument/2006/relationships/hyperlink" Id="rId35" Target="mailto:a@b.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conversione</dc:title>
  <dc:creator/>
  <cp:keywords/>
  <dcterms:created xsi:type="dcterms:W3CDTF">2018-08-01T18:39:08Z</dcterms:created>
  <dcterms:modified xsi:type="dcterms:W3CDTF">2018-08-01T18:39:08Z</dcterms:modified>
</cp:coreProperties>
</file>