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84"/>
        <w:gridCol w:w="1728"/>
        <w:gridCol w:w="1728"/>
        <w:gridCol w:w="1728"/>
      </w:tblGrid>
      <w:tr>
        <w:trPr>
          <w:trHeight w:val="841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(N=79)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(N=74)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4.2 ( 0.70)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4.0 ( 0.77)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4.0 ( 0.75)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4.0 (  3; 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4.0 (  2; 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4.0 (  2; 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p-value(Dose Response) [1][2]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0.214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- Placebo)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0.219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0.272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 (0.12)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 (0.12)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(-0.4;0.1)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(-0.4;0.1)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High - Xan Low)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0.916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0.0 (0.12)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(-0.2;0.2)</w:t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[1] Based on Analysis of covariance (ANCOVA) model with treatment and site group as factors.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[2] Test for a non-zero coefficient for treatment (dose) as a continuous variable.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[3] Pairwise comparison with treatment as a categorical variable: p-values without adjustment for multiple comparisons.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programs/t-14-3-06.R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19:26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Efficacy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14-3.06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CIBIC+ - Summary at Week 16 - LOCF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2026-07-25T15:23:32Z</dcterms:modified>
  <cp:category/>
</cp:coreProperties>
</file>