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 (0.69)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(0.84)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0.560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0.440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 (1.02)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 (1.07)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(-2.6;1.4)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(-2.9;1.3)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0.835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 (1.12)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(-2.5;2.0)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The change from baseline is calculated as the post-baseline score minus the baseline score. The covariates included in the MMRM model are treatment, site group, time and treatment by time interaction, baseline ADAS-Cog (11) score, and baseline ADAS-Cog (11) score by time interaction.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programs/t-14-3-11.R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19:28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14-3.11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Repeated Measures Analysis of Change from Baseline to Week 24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2026-07-25T15:23:44Z</dcterms:modified>
  <cp:category/>
</cp:coreProperties>
</file>