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92"/>
        <w:gridCol w:w="1066"/>
        <w:gridCol w:w="1066"/>
        <w:gridCol w:w="1066"/>
        <w:gridCol w:w="1066"/>
        <w:gridCol w:w="1066"/>
        <w:gridCol w:w="1066"/>
        <w:gridCol w:w="1066"/>
        <w:gridCol w:w="1066"/>
        <w:gridCol w:w="1066"/>
        <w:gridCol w:w="749"/>
      </w:tblGrid>
      <w:tr>
        <w:trPr>
          <w:trHeight w:val="476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Placebo (N=86)</w:t>
            </w:r>
          </w:p>
        </w:tc>
        <w:tc>
          <w:tcPr>
            <w:gridSpan w:val="3"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Xan. Low (N=84)</w:t>
            </w:r>
          </w:p>
        </w:tc>
        <w:tc>
          <w:tcPr>
            <w:gridSpan w:val="3"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Xan. High (N=84)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73" w:hRule="auto"/>
          <w:tblHeader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Low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Low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Low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Normal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36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p-val</w:t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[1]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CHEMISTRY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----------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ALBUMIN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10( 12%)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71( 85%)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6(  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72( 88%)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4(  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5(  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66( 82%)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9( 11%)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0.235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ALKALINE PHOSPHATASE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78( 93%)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5(  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77( 96%)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0.599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ALANINE AMINOTRANSFERASE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4(  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75( 89%)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5(  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6(  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69( 84%)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7(  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7(  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68( 85%)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5(  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ASPARTATE AMINOTRANSFERASE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73( 87%)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9( 11%)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8( 10%)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71( 87%)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75( 94%)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0.045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BILIRUBIN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79( 94%)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5(  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75( 94%)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0.296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UREA NITROGEN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79( 96%)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0.796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CALCIUM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6(  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76( 90%)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4(  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76( 93%)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77( 96%)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81( 96%)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CREATINE KINASE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8( 10%)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64( 76%)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12( 14%)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6(  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71( 87%)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5(  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7(  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65( 81%)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8( 10%)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0.474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CHLORIDE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78( 93%)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77( 96%)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0.496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CREATININE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0.775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GAMMA GLUTAMYL TRANSFERASE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81( 96%)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4(  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72( 88%)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6(  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74( 92%)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4(  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0.378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GLUCOSE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81( 96%)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74( 92%)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0.317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POTASSIUM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78( 96%)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74( 92%)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0.464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10( 12%)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60( 71%)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14( 17%)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7(  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62( 76%)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13( 16%)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12( 15%)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58( 72%)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10( 12%)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0.728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PHOSPHATE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76( 95%)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0.661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PROTEIN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5(  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73( 87%)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6(  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5(  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74( 92%)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0.062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81( 96%)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HEMATOLOGY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----------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BASOPHILS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0.948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EOSINOPHILS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4(  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80( 95%)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70( 85%)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9( 11%)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4(  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68( 85%)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8( 10%)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0.010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HEMATOCRIT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79( 95%)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4(  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77( 95%)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76( 95%)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HEMOGLOBIN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0.215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LYMPHOCYTES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4(  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76( 90%)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4(  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79( 96%)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77( 96%)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0.498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ERY. MEAN CORPUSCULAR HEMOGLOBIN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0.884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ERY. MEAN CORPUSCULAR HB CONCENTRATION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0.885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ERY. MEAN CORPUSCULAR VOLUME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80( 96%)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78( 96%)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75( 94%)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4(  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0.396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MONOCYTES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5(  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74( 88%)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5(  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0.081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PLATELET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80( 98%)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0.546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ERYTHROCYTES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1(  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81( 99%)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0.884</w:t>
            </w:r>
          </w:p>
        </w:tc>
      </w:tr>
      <w:tr>
        <w:trPr>
          <w:trHeight w:val="307" w:hRule="atLeas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LEUKOCYTES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4(  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78( 93%)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2(  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77( 94%)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74( 92%)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3(  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ourier New" w:hAnsi="Courier New" w:eastAsia="Courier New" w:cs="Courier New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0.934</w:t>
            </w:r>
          </w:p>
        </w:tc>
      </w:tr>
    </w:tbl>
    <w:sectPr>
      <w:headerReference w:officer="true" r:id="rId8" w:type="default">
</w:headerReference>
      <w:footerReference w:officer="true" r:id="rId7" w:type="default">
</w:footerReference>
      <w:pgMar w:header="720" w:bottom="1440" w:top="1440" w:right="1440" w:left="1440" w:footer="720" w:gutter="0"/>
      <w:pgSz w:h="12240" w:w="1584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 xmlns:a="http://schemas.openxmlformats.org/drawingml/2006/main" xmlns:pic="http://schemas.openxmlformats.org/drawingml/2006/picture">
    <w:tblPr>
      <w:tblLayout w:type="fixed"/>
      <w:jc w:val="center"/>
      <w:tblLook w:firstRow="1" w:lastRow="0" w:firstColumn="0" w:lastColumn="0" w:noHBand="0" w:noVBand="1"/>
    </w:tblPr>
    <w:tblGrid>
      <w:gridCol w:w="6480"/>
      <w:gridCol w:w="6480"/>
    </w:tblGrid>
    <w:tr>
      <w:trPr>
        <w:trHeight w:val="228" w:hRule="atLeast"/>
      </w:trPr>
      <w:tc>
        <w:tcPr>
          <w:gridSpan w:val="2"/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left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fals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false"/>
              <w:u w:val="none"/>
              <w:strike w:val="false"/>
              <w:sz w:val="20"/>
              <w:szCs w:val="20"/>
              <w:color w:val="000000"/>
            </w:rPr>
            <w:t xml:space="preserve">Note: Percentages are based on the number of subjects with non-missing assessments (i.e., the total of the subjects in the low, normal, and high categories) within each treatment group.</w:t>
          </w:r>
        </w:p>
      </w:tc>
    </w:tr>
    <w:tr>
      <w:trPr>
        <w:trHeight w:val="228" w:hRule="atLeast"/>
      </w:trPr>
      <w:tc>
        <w:tcPr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left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fals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false"/>
              <w:u w:val="none"/>
              <w:strike w:val="false"/>
              <w:sz w:val="20"/>
              <w:szCs w:val="20"/>
              <w:color w:val="000000"/>
            </w:rPr>
            <w:t xml:space="preserve">Source: programs/t-14-6.03.R</w:t>
          </w:r>
        </w:p>
      </w:tc>
      <w:tc>
        <w:tcPr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right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fals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false"/>
              <w:u w:val="none"/>
              <w:strike w:val="false"/>
              <w:sz w:val="20"/>
              <w:szCs w:val="20"/>
              <w:color w:val="000000"/>
            </w:rPr>
            <w:t xml:space="preserve">19:30 Tuesday, June 16, 2020</w:t>
          </w:r>
        </w:p>
      </w:tc>
    </w:tr>
  </w:tbl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 xmlns:a="http://schemas.openxmlformats.org/drawingml/2006/main" xmlns:pic="http://schemas.openxmlformats.org/drawingml/2006/picture">
    <w:tblPr>
      <w:tblLayout w:type="fixed"/>
      <w:jc w:val="center"/>
      <w:tblLook w:firstRow="1" w:lastRow="0" w:firstColumn="0" w:lastColumn="0" w:noHBand="0" w:noVBand="1"/>
    </w:tblPr>
    <w:tblGrid>
      <w:gridCol w:w="6480"/>
      <w:gridCol w:w="6480"/>
    </w:tblGrid>
    <w:tr>
      <w:trPr>
        <w:trHeight w:val="228" w:hRule="atLeast"/>
      </w:trPr>
      <w:tc>
        <w:tcPr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left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t xml:space="preserve">Protocol: CDISCPILOT01</w:t>
          </w:r>
        </w:p>
      </w:tc>
      <w:tc>
        <w:tcPr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right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t xml:space="preserve">Page </w:t>
          </w: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fldChar w:fldCharType="begin" w:dirty="true"/>
          </w: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instrText xml:space="preserve" w:dirty="true">PAGE</w:instrText>
          </w: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fldChar w:fldCharType="end" w:dirty="true"/>
          </w: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t xml:space="preserve"> of </w:t>
          </w: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fldChar w:fldCharType="begin" w:dirty="true"/>
          </w: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instrText xml:space="preserve" w:dirty="true">NUMPAGES</w:instrText>
          </w: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fldChar w:fldCharType="end" w:dirty="true"/>
          </w:r>
        </w:p>
      </w:tc>
    </w:tr>
    <w:tr>
      <w:trPr>
        <w:trHeight w:val="228" w:hRule="atLeast"/>
      </w:trPr>
      <w:tc>
        <w:tcPr>
          <w:gridSpan w:val="2"/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left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t xml:space="preserve">Population: Safety</w:t>
          </w:r>
        </w:p>
      </w:tc>
    </w:tr>
    <w:tr>
      <w:trPr>
        <w:trHeight w:val="228" w:hRule="atLeast"/>
      </w:trPr>
      <w:tc>
        <w:tcPr>
          <w:gridSpan w:val="2"/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center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t xml:space="preserve">Table 14-6.03</w:t>
          </w:r>
        </w:p>
      </w:tc>
    </w:tr>
    <w:tr>
      <w:trPr>
        <w:trHeight w:val="228" w:hRule="atLeast"/>
      </w:trPr>
      <w:tc>
        <w:tcPr>
          <w:gridSpan w:val="2"/>
          <w:tcBorders>
            <w:bottom w:val="none" w:sz="0" w:space="0" w:color="000000"/>
            <w:top w:val="none" w:sz="0" w:space="0" w:color="000000"/>
            <w:left w:val="none" w:sz="0" w:space="0" w:color="000000"/>
            <w:right w:val="none" w:sz="0" w:space="0" w:color="000000"/>
          </w:tcBorders>
          <w:shd w:val="clear" w:color="auto" w:fill="FFFFFF"/>
          <w:tcMar>
            <w:top w:w="0" w:type="dxa"/>
            <w:bottom w:w="0" w:type="dxa"/>
            <w:left w:w="0" w:type="dxa"/>
            <w:right w:w="0" w:type="dxa"/>
          </w:tcMar>
          <w:vAlign w:val="center"/>
        </w:tcPr>
        <w:p>
          <w:pPr>
            <w:pStyle w:val="Normal"/>
            <w:jc w:val="center"/>
            <w:pBdr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pBdr>
            <w:spacing w:after="0" w:before="0" w:line="240"/>
            <w:ind w:left="0" w:right="0" w:firstLine="0" w:firstLineChars="0"/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</w:pPr>
          <w:r>
            <w:rPr>
              <w:rFonts w:ascii="Courier New" w:hAnsi="Courier New" w:eastAsia="Courier New" w:cs="Courier New"/>
              <w:i w:val="true"/>
              <w:b w:val="true"/>
              <w:u w:val="none"/>
              <w:strike w:val="false"/>
              <w:sz w:val="20"/>
              <w:szCs w:val="20"/>
              <w:color w:val="000000"/>
            </w:rPr>
            <w:t xml:space="preserve">Frequency of Normal and Abnormal (Clinically Significant Change from Previous Visit) Laboratory Values During Treatment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8" Type="http://schemas.openxmlformats.org/officeDocument/2006/relationships/header" Target="header1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mstackhouse</cp:lastModifiedBy>
  <cp:revision>9</cp:revision>
  <dcterms:created xsi:type="dcterms:W3CDTF">2017-02-28T11:18:00Z</dcterms:created>
  <dcterms:modified xsi:type="dcterms:W3CDTF">2026-07-25T17:17:09Z</dcterms:modified>
  <cp:category/>
</cp:coreProperties>
</file>