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88"/>
        <w:gridCol w:w="1829"/>
        <w:gridCol w:w="1296"/>
        <w:gridCol w:w="504"/>
        <w:gridCol w:w="1224"/>
        <w:gridCol w:w="504"/>
        <w:gridCol w:w="893"/>
        <w:gridCol w:w="893"/>
        <w:gridCol w:w="893"/>
        <w:gridCol w:w="893"/>
        <w:gridCol w:w="893"/>
      </w:tblGrid>
      <w:tr>
        <w:trPr>
          <w:trHeight w:val="433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Planned Relative Time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Min.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Max.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39.0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99.0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Pulse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LYING DOWN FOR 5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67.0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47.0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92.0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1 MINUTE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AFTER STANDING FOR 3 MINUTES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88.0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97.0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Xan.High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96.0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End of Trt.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100.0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End of treatment is the last on-treatment assessment of the specified vital sign (on or before the Week 24 visit).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programs/t-14-7.01.R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19:32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Safety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14-7.01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Summary of Vital Signs at Baseline and End of Treatment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2026-07-25T15:24:29Z</dcterms:modified>
  <cp:category/>
</cp:coreProperties>
</file>