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88"/>
        <w:gridCol w:w="1829"/>
        <w:gridCol w:w="1296"/>
        <w:gridCol w:w="504"/>
        <w:gridCol w:w="1224"/>
        <w:gridCol w:w="504"/>
        <w:gridCol w:w="893"/>
        <w:gridCol w:w="893"/>
        <w:gridCol w:w="893"/>
        <w:gridCol w:w="893"/>
        <w:gridCol w:w="893"/>
      </w:tblGrid>
      <w:tr>
        <w:trPr>
          <w:trHeight w:val="433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Position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Planned Relative Time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Max.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Systolic Blood Pressure (mmHg)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LYING DOWN FOR 5 MINUTES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-4.0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-28.0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26.0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STANDING FOR 1 MINUTE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42.0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35.0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STANDING FOR 3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Diastolic Blood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LYING DOWN FOR 5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41.0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16.0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16.0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STANDING FOR 1 MINUTE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STANDING FOR 3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16.0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16.0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Pulse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LYING DOWN FOR 5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25.0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32.0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STANDING FOR 1 MINUTE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STANDING FOR 3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32.0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16.0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29.0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End of treatment is the last on-treatment assessment of the specified vital sign (on or before the Week 24 visit).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programs/t-14-7.02.R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19:32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Safety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14-7.02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Summary of Vital Signs Change from Baseline at End of Treatment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2026-07-25T15:24:33Z</dcterms:modified>
  <cp:category/>
</cp:coreProperties>
</file>