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557"/>
        <w:gridCol w:w="1555"/>
        <w:gridCol w:w="1555"/>
        <w:gridCol w:w="1555"/>
        <w:gridCol w:w="1555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(N=254)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 [1]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Completion Status: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Completed 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60 ( 70%)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28 ( 33%)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 ( 36%)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 ( 46%)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&lt;.0001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Early Termination (prior to Week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26 ( 30%)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56 ( 67%)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54 ( 64%)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( 54%)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Reason for Early Termination (prior to Week 24):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Adverse 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44 ( 52%)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 ( 46%)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91 ( 36%)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&lt;.0001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Lack of Efficacy[2]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 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0.3281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Lost to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Subject decided to withdraw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 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25 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Physician decided to withdraw subject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Protocol criteria not met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Protocol violation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Sponsor decision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 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 (  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Fisher's exact test.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Based on either patient/caregiver perception or physician perception.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programs/t-14-1-02.R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19:25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Intent-to-Treat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14-1.02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Summary of End of Study Data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2026-07-27T16:16:49Z</dcterms:modified>
  <cp:category/>
</cp:coreProperties>
</file>