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08"/>
        <w:gridCol w:w="726"/>
        <w:gridCol w:w="847"/>
        <w:gridCol w:w="1210"/>
        <w:gridCol w:w="1210"/>
        <w:gridCol w:w="1210"/>
        <w:gridCol w:w="1210"/>
        <w:gridCol w:w="1210"/>
        <w:gridCol w:w="1210"/>
      </w:tblGrid>
      <w:tr>
        <w:trPr>
          <w:trHeight w:val="476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 (N=86)</w:t>
            </w:r>
          </w:p>
        </w:tc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 Low (N=84)</w:t>
            </w:r>
          </w:p>
        </w:tc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 High (N=84)</w:t>
            </w:r>
          </w:p>
        </w:tc>
      </w:tr>
      <w:tr>
        <w:trPr>
          <w:trHeight w:val="474" w:hRule="auto"/>
          <w:tblHeader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 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 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 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at</w:t>
            </w:r>
          </w:p>
        </w:tc>
      </w:tr>
      <w:tr>
        <w:trPr>
          <w:trHeight w:val="433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Shift to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----------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ALANINE AMINOTRANSFERASE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ALBUMIN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ALKALINE PHOSPHATASE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ASPARTATE AMINOTRANSFERASE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BILIRUBIN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29( 97%)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CALCIUM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CHOLESTEROL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CREATINE KINASE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61( 97%)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2( 67%)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1( 33%)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66( 97%)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27( 93%)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29( 97%)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 GLUTAMYL TRANSFERASE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1( 50%)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GLUCOSE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PHOSPHATE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POTASSIUM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UREA NITROGEN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----------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74( 97%)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35( 97%)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HB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HEMOGLOBIN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VOLUME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HEMOGLOBIN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LEUKOCYTES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LYMPHOCYTES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70( 99%)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64( 98%)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1(  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PLATELET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0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NOTES: Only subjects with baseline results are included in the summary.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There were no subjects with abnormal low values at baseline.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programs/t-14-6.04.R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19:31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14-6.04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Shifts of Laboratory Values During Treatment, Categorized Based on Threshold Ranges, by Visit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2026-07-27T16:17:06Z</dcterms:modified>
  <cp:category/>
</cp:coreProperties>
</file>