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 (12.19)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 (12.92)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 (11.74)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 (  3;57)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26.7 (13.79)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 (13.18)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 (12.48)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 (  5;62)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 (  6;62)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(  3;62)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2.5 ( 5.80)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( 5.55)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1.5 ( 4.26)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(-11;16)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(-11;17)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 -7;13)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0.245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0.569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0.233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 (0.82)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 (0.84)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(-2.1;1.1)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(-2.7;0.7)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0.520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 (0.84)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(-2.2;1.1)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19:25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Primary Endpoint Analysis: ADAS Cog (11) - Change from Baseline to Week 24 -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2026-07-25T15:23:21Z</dcterms:modified>
  <cp:category/>
</cp:coreProperties>
</file>